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2C8" w:rsidRDefault="00D21170" w:rsidP="00CC1533">
      <w:pPr>
        <w:spacing w:before="273" w:line="278" w:lineRule="auto"/>
        <w:ind w:left="340" w:right="567"/>
        <w:jc w:val="center"/>
        <w:rPr>
          <w:b/>
          <w:sz w:val="28"/>
        </w:rPr>
      </w:pPr>
      <w:bookmarkStart w:id="0" w:name="_GoBack"/>
      <w:r>
        <w:rPr>
          <w:b/>
          <w:sz w:val="28"/>
          <w:u w:val="single"/>
        </w:rPr>
        <w:t>Customer</w:t>
      </w:r>
      <w:r>
        <w:rPr>
          <w:b/>
          <w:spacing w:val="-5"/>
          <w:sz w:val="28"/>
          <w:u w:val="single"/>
        </w:rPr>
        <w:t xml:space="preserve"> </w:t>
      </w:r>
      <w:r>
        <w:rPr>
          <w:b/>
          <w:sz w:val="28"/>
          <w:u w:val="single"/>
        </w:rPr>
        <w:t>Service</w:t>
      </w:r>
      <w:r>
        <w:rPr>
          <w:b/>
          <w:spacing w:val="-5"/>
          <w:sz w:val="28"/>
          <w:u w:val="single"/>
        </w:rPr>
        <w:t xml:space="preserve"> </w:t>
      </w:r>
      <w:r>
        <w:rPr>
          <w:b/>
          <w:sz w:val="28"/>
          <w:u w:val="single"/>
        </w:rPr>
        <w:t>Quality</w:t>
      </w:r>
      <w:r>
        <w:rPr>
          <w:b/>
          <w:spacing w:val="-5"/>
          <w:sz w:val="28"/>
          <w:u w:val="single"/>
        </w:rPr>
        <w:t xml:space="preserve"> </w:t>
      </w:r>
      <w:r>
        <w:rPr>
          <w:b/>
          <w:sz w:val="28"/>
          <w:u w:val="single"/>
        </w:rPr>
        <w:t>in</w:t>
      </w:r>
      <w:r>
        <w:rPr>
          <w:b/>
          <w:spacing w:val="-5"/>
          <w:sz w:val="28"/>
          <w:u w:val="single"/>
        </w:rPr>
        <w:t xml:space="preserve"> </w:t>
      </w:r>
      <w:r>
        <w:rPr>
          <w:b/>
          <w:sz w:val="28"/>
          <w:u w:val="single"/>
        </w:rPr>
        <w:t>the</w:t>
      </w:r>
      <w:r>
        <w:rPr>
          <w:b/>
          <w:spacing w:val="-5"/>
          <w:sz w:val="28"/>
          <w:u w:val="single"/>
        </w:rPr>
        <w:t xml:space="preserve"> </w:t>
      </w:r>
      <w:r>
        <w:rPr>
          <w:b/>
          <w:sz w:val="28"/>
          <w:u w:val="single"/>
        </w:rPr>
        <w:t>E-Banking</w:t>
      </w:r>
      <w:r>
        <w:rPr>
          <w:b/>
          <w:spacing w:val="-4"/>
          <w:sz w:val="28"/>
          <w:u w:val="single"/>
        </w:rPr>
        <w:t xml:space="preserve"> </w:t>
      </w:r>
      <w:r>
        <w:rPr>
          <w:b/>
          <w:sz w:val="28"/>
          <w:u w:val="single"/>
        </w:rPr>
        <w:t>Environment:</w:t>
      </w:r>
      <w:r>
        <w:rPr>
          <w:b/>
          <w:spacing w:val="-5"/>
          <w:sz w:val="28"/>
          <w:u w:val="single"/>
        </w:rPr>
        <w:t xml:space="preserve"> </w:t>
      </w:r>
      <w:r>
        <w:rPr>
          <w:b/>
          <w:sz w:val="28"/>
          <w:u w:val="single"/>
        </w:rPr>
        <w:t>A</w:t>
      </w:r>
      <w:r>
        <w:rPr>
          <w:b/>
          <w:spacing w:val="-5"/>
          <w:sz w:val="28"/>
          <w:u w:val="single"/>
        </w:rPr>
        <w:t xml:space="preserve"> </w:t>
      </w:r>
      <w:r>
        <w:rPr>
          <w:b/>
          <w:sz w:val="28"/>
          <w:u w:val="single"/>
        </w:rPr>
        <w:t>Case</w:t>
      </w:r>
      <w:r>
        <w:rPr>
          <w:b/>
          <w:sz w:val="28"/>
        </w:rPr>
        <w:t xml:space="preserve"> </w:t>
      </w:r>
      <w:r>
        <w:rPr>
          <w:b/>
          <w:sz w:val="28"/>
          <w:u w:val="single"/>
        </w:rPr>
        <w:t>Study of State Bank of India Branches in Muzaffarpur District</w:t>
      </w:r>
    </w:p>
    <w:bookmarkEnd w:id="0"/>
    <w:p w:rsidR="00E632C8" w:rsidRDefault="00E632C8" w:rsidP="00CC1533">
      <w:pPr>
        <w:pStyle w:val="BodyText"/>
        <w:spacing w:before="34"/>
        <w:ind w:left="0" w:right="0"/>
        <w:jc w:val="center"/>
        <w:rPr>
          <w:b/>
        </w:rPr>
      </w:pPr>
    </w:p>
    <w:p w:rsidR="00E632C8" w:rsidRDefault="00D21170" w:rsidP="00CC1533">
      <w:pPr>
        <w:pStyle w:val="Heading1"/>
        <w:ind w:left="325" w:right="681" w:firstLine="0"/>
        <w:jc w:val="center"/>
      </w:pPr>
      <w:r>
        <w:t>Suraj</w:t>
      </w:r>
      <w:r>
        <w:rPr>
          <w:spacing w:val="-1"/>
        </w:rPr>
        <w:t xml:space="preserve"> </w:t>
      </w:r>
      <w:r>
        <w:rPr>
          <w:spacing w:val="-2"/>
        </w:rPr>
        <w:t>Kumar</w:t>
      </w:r>
    </w:p>
    <w:p w:rsidR="00E632C8" w:rsidRDefault="00D21170" w:rsidP="00CC1533">
      <w:pPr>
        <w:pStyle w:val="BodyText"/>
        <w:spacing w:before="41"/>
        <w:ind w:left="326" w:right="681"/>
        <w:jc w:val="center"/>
      </w:pPr>
      <w:r>
        <w:t>Research</w:t>
      </w:r>
      <w:r>
        <w:rPr>
          <w:spacing w:val="-3"/>
        </w:rPr>
        <w:t xml:space="preserve"> </w:t>
      </w:r>
      <w:r>
        <w:t>Scholar, Faculty of</w:t>
      </w:r>
      <w:r>
        <w:rPr>
          <w:spacing w:val="-2"/>
        </w:rPr>
        <w:t xml:space="preserve"> </w:t>
      </w:r>
      <w:r>
        <w:t>Commerce</w:t>
      </w:r>
      <w:r>
        <w:rPr>
          <w:spacing w:val="-2"/>
        </w:rPr>
        <w:t xml:space="preserve"> </w:t>
      </w:r>
      <w:r>
        <w:t>and</w:t>
      </w:r>
      <w:r>
        <w:rPr>
          <w:spacing w:val="-1"/>
        </w:rPr>
        <w:t xml:space="preserve"> </w:t>
      </w:r>
      <w:r>
        <w:t>Management,</w:t>
      </w:r>
      <w:r>
        <w:rPr>
          <w:spacing w:val="-1"/>
        </w:rPr>
        <w:t xml:space="preserve"> </w:t>
      </w:r>
      <w:proofErr w:type="spellStart"/>
      <w:r>
        <w:t>Patliputra</w:t>
      </w:r>
      <w:proofErr w:type="spellEnd"/>
      <w:r>
        <w:rPr>
          <w:spacing w:val="-2"/>
        </w:rPr>
        <w:t xml:space="preserve"> </w:t>
      </w:r>
      <w:r>
        <w:t>University,</w:t>
      </w:r>
      <w:r>
        <w:rPr>
          <w:spacing w:val="-1"/>
        </w:rPr>
        <w:t xml:space="preserve"> </w:t>
      </w:r>
      <w:r>
        <w:rPr>
          <w:spacing w:val="-2"/>
        </w:rPr>
        <w:t>Patna</w:t>
      </w:r>
    </w:p>
    <w:p w:rsidR="00E632C8" w:rsidRDefault="00D21170" w:rsidP="00CC1533">
      <w:pPr>
        <w:pStyle w:val="Heading1"/>
        <w:spacing w:before="43"/>
        <w:ind w:left="324" w:right="681" w:firstLine="0"/>
        <w:jc w:val="center"/>
      </w:pPr>
      <w:r>
        <w:t>D</w:t>
      </w:r>
      <w:r>
        <w:t>r.</w:t>
      </w:r>
      <w:r>
        <w:rPr>
          <w:spacing w:val="-2"/>
        </w:rPr>
        <w:t xml:space="preserve"> </w:t>
      </w:r>
      <w:r>
        <w:t>Fazal</w:t>
      </w:r>
      <w:r>
        <w:rPr>
          <w:spacing w:val="-2"/>
        </w:rPr>
        <w:t xml:space="preserve"> Ahmad</w:t>
      </w:r>
    </w:p>
    <w:p w:rsidR="00E632C8" w:rsidRDefault="00D21170" w:rsidP="00CC1533">
      <w:pPr>
        <w:pStyle w:val="BodyText"/>
        <w:spacing w:before="42" w:line="276" w:lineRule="auto"/>
        <w:ind w:left="323" w:right="681"/>
        <w:jc w:val="center"/>
      </w:pPr>
      <w:r>
        <w:t>Associate</w:t>
      </w:r>
      <w:r>
        <w:rPr>
          <w:spacing w:val="-6"/>
        </w:rPr>
        <w:t xml:space="preserve"> </w:t>
      </w:r>
      <w:r>
        <w:t>Professor,</w:t>
      </w:r>
      <w:r>
        <w:rPr>
          <w:spacing w:val="-4"/>
        </w:rPr>
        <w:t xml:space="preserve"> </w:t>
      </w:r>
      <w:r>
        <w:t>P.G</w:t>
      </w:r>
      <w:r>
        <w:rPr>
          <w:spacing w:val="-5"/>
        </w:rPr>
        <w:t xml:space="preserve"> </w:t>
      </w:r>
      <w:r>
        <w:t>Department</w:t>
      </w:r>
      <w:r>
        <w:rPr>
          <w:spacing w:val="-3"/>
        </w:rPr>
        <w:t xml:space="preserve"> </w:t>
      </w:r>
      <w:r>
        <w:t>of</w:t>
      </w:r>
      <w:r>
        <w:rPr>
          <w:spacing w:val="-5"/>
        </w:rPr>
        <w:t xml:space="preserve"> </w:t>
      </w:r>
      <w:r>
        <w:t>Commerce</w:t>
      </w:r>
      <w:r>
        <w:rPr>
          <w:spacing w:val="-4"/>
        </w:rPr>
        <w:t xml:space="preserve"> </w:t>
      </w:r>
      <w:r>
        <w:t>and</w:t>
      </w:r>
      <w:r>
        <w:rPr>
          <w:spacing w:val="-4"/>
        </w:rPr>
        <w:t xml:space="preserve"> </w:t>
      </w:r>
      <w:r>
        <w:t>Management,</w:t>
      </w:r>
      <w:r>
        <w:rPr>
          <w:spacing w:val="-4"/>
        </w:rPr>
        <w:t xml:space="preserve"> </w:t>
      </w:r>
      <w:r>
        <w:t>S.G.G.S</w:t>
      </w:r>
      <w:r>
        <w:rPr>
          <w:spacing w:val="-5"/>
        </w:rPr>
        <w:t xml:space="preserve"> </w:t>
      </w:r>
      <w:r>
        <w:t>College,</w:t>
      </w:r>
      <w:r>
        <w:rPr>
          <w:spacing w:val="-4"/>
        </w:rPr>
        <w:t xml:space="preserve"> </w:t>
      </w:r>
      <w:r>
        <w:t>Patna City, Patna</w:t>
      </w:r>
    </w:p>
    <w:p w:rsidR="00CC1533" w:rsidRDefault="00CC1533">
      <w:pPr>
        <w:pStyle w:val="Heading1"/>
        <w:spacing w:line="275" w:lineRule="exact"/>
        <w:ind w:left="360" w:firstLine="0"/>
        <w:jc w:val="left"/>
        <w:rPr>
          <w:spacing w:val="-2"/>
        </w:rPr>
      </w:pPr>
    </w:p>
    <w:p w:rsidR="00E632C8" w:rsidRDefault="00D21170">
      <w:pPr>
        <w:pStyle w:val="Heading1"/>
        <w:spacing w:line="275" w:lineRule="exact"/>
        <w:ind w:left="360" w:firstLine="0"/>
        <w:jc w:val="left"/>
      </w:pPr>
      <w:r>
        <w:rPr>
          <w:spacing w:val="-2"/>
        </w:rPr>
        <w:t>Abstract</w:t>
      </w:r>
    </w:p>
    <w:p w:rsidR="00E632C8" w:rsidRDefault="00D21170">
      <w:pPr>
        <w:pStyle w:val="BodyText"/>
        <w:spacing w:before="43" w:line="276" w:lineRule="auto"/>
        <w:ind w:right="715"/>
      </w:pPr>
      <w:r>
        <w:t>Electronic banking (e-banking) has become the primary interface through which commercial banks in India engage with their customers, and the quality of e-bank</w:t>
      </w:r>
      <w:r>
        <w:t>ing services increasingly determines customer satisfaction, retention, and loyalty. This study examines customer perceptions of service quality in the e-banking environment offered by State Bank of India (SBI) branches in Muzaffarpur district, Bihar, using</w:t>
      </w:r>
      <w:r>
        <w:t xml:space="preserve"> a modified SERVQUAL framework comprising five dimensions: reliability, responsiveness, assurance, empathy, and tangibility. Primary data were collected from 150 SBI e-banking customers through a structured, five-point Likert-scale questionnaire and </w:t>
      </w:r>
      <w:proofErr w:type="spellStart"/>
      <w:r>
        <w:t>analys</w:t>
      </w:r>
      <w:r>
        <w:t>ed</w:t>
      </w:r>
      <w:proofErr w:type="spellEnd"/>
      <w:r>
        <w:t xml:space="preserve"> using SPSS software. Descriptive statistics, Cronbach's alpha reliability testing, Pearson correlation, multiple regression, and independent samples t-test/ANOVA</w:t>
      </w:r>
      <w:r>
        <w:rPr>
          <w:spacing w:val="-4"/>
        </w:rPr>
        <w:t xml:space="preserve"> </w:t>
      </w:r>
      <w:r>
        <w:t>were</w:t>
      </w:r>
      <w:r>
        <w:rPr>
          <w:spacing w:val="-3"/>
        </w:rPr>
        <w:t xml:space="preserve"> </w:t>
      </w:r>
      <w:r>
        <w:t>employed</w:t>
      </w:r>
      <w:r>
        <w:rPr>
          <w:spacing w:val="-3"/>
        </w:rPr>
        <w:t xml:space="preserve"> </w:t>
      </w:r>
      <w:r>
        <w:t>to</w:t>
      </w:r>
      <w:r>
        <w:rPr>
          <w:spacing w:val="-3"/>
        </w:rPr>
        <w:t xml:space="preserve"> </w:t>
      </w:r>
      <w:r>
        <w:t>examine</w:t>
      </w:r>
      <w:r>
        <w:rPr>
          <w:spacing w:val="-4"/>
        </w:rPr>
        <w:t xml:space="preserve"> </w:t>
      </w:r>
      <w:r>
        <w:t>the</w:t>
      </w:r>
      <w:r>
        <w:rPr>
          <w:spacing w:val="-2"/>
        </w:rPr>
        <w:t xml:space="preserve"> </w:t>
      </w:r>
      <w:r>
        <w:t>relationship</w:t>
      </w:r>
      <w:r>
        <w:rPr>
          <w:spacing w:val="-3"/>
        </w:rPr>
        <w:t xml:space="preserve"> </w:t>
      </w:r>
      <w:r>
        <w:t>between</w:t>
      </w:r>
      <w:r>
        <w:rPr>
          <w:spacing w:val="-1"/>
        </w:rPr>
        <w:t xml:space="preserve"> </w:t>
      </w:r>
      <w:r>
        <w:t>service</w:t>
      </w:r>
      <w:r>
        <w:rPr>
          <w:spacing w:val="-4"/>
        </w:rPr>
        <w:t xml:space="preserve"> </w:t>
      </w:r>
      <w:r>
        <w:t>quality</w:t>
      </w:r>
      <w:r>
        <w:rPr>
          <w:spacing w:val="-3"/>
        </w:rPr>
        <w:t xml:space="preserve"> </w:t>
      </w:r>
      <w:r>
        <w:t>dimensions</w:t>
      </w:r>
      <w:r>
        <w:rPr>
          <w:spacing w:val="-4"/>
        </w:rPr>
        <w:t xml:space="preserve"> </w:t>
      </w:r>
      <w:r>
        <w:t xml:space="preserve">and customer satisfaction and to test differences across demographic groups. The results indicate that all five SERVQUAL dimensions are positively and significantly correlated with customer satisfaction, with reliability and responsiveness emerging as the </w:t>
      </w:r>
      <w:r>
        <w:t>strongest predictors in the regression model, which explained approximately 55 percent of the variance in customer satisfaction. No statistically significant difference in satisfaction was found across gender, whereas age groups showed a statistically sign</w:t>
      </w:r>
      <w:r>
        <w:t xml:space="preserve">ificant difference. The study concludes that SBI branches in Muzaffarpur have achieved a moderate-to-high level of customer satisfaction with e-banking services, although gaps remain in responsiveness, grievance redressal, and </w:t>
      </w:r>
      <w:proofErr w:type="spellStart"/>
      <w:r>
        <w:t>personalised</w:t>
      </w:r>
      <w:proofErr w:type="spellEnd"/>
      <w:r>
        <w:t xml:space="preserve"> attention. Pract</w:t>
      </w:r>
      <w:r>
        <w:t>ical recommendations for improving e-banking service delivery in the semi-urban and rural markets of Bihar are offered for bank management and policymakers.</w:t>
      </w:r>
    </w:p>
    <w:p w:rsidR="00E632C8" w:rsidRDefault="00D21170">
      <w:pPr>
        <w:pStyle w:val="BodyText"/>
        <w:spacing w:line="278" w:lineRule="auto"/>
        <w:ind w:right="722"/>
      </w:pPr>
      <w:r>
        <w:rPr>
          <w:b/>
        </w:rPr>
        <w:t xml:space="preserve">Keywords: </w:t>
      </w:r>
      <w:r>
        <w:t>e-banking, service quality, SERVQUAL, customer satisfaction, State Bank of India, Muzaffa</w:t>
      </w:r>
      <w:r>
        <w:t>rpur, SPSS</w:t>
      </w:r>
    </w:p>
    <w:p w:rsidR="00E632C8" w:rsidRDefault="00D21170">
      <w:pPr>
        <w:pStyle w:val="Heading1"/>
        <w:numPr>
          <w:ilvl w:val="0"/>
          <w:numId w:val="2"/>
        </w:numPr>
        <w:tabs>
          <w:tab w:val="left" w:pos="600"/>
        </w:tabs>
        <w:spacing w:line="272" w:lineRule="exact"/>
        <w:jc w:val="both"/>
      </w:pPr>
      <w:r>
        <w:rPr>
          <w:spacing w:val="-2"/>
        </w:rPr>
        <w:t>Introduction</w:t>
      </w:r>
    </w:p>
    <w:p w:rsidR="00E632C8" w:rsidRDefault="00D21170">
      <w:pPr>
        <w:pStyle w:val="ListParagraph"/>
        <w:numPr>
          <w:ilvl w:val="1"/>
          <w:numId w:val="2"/>
        </w:numPr>
        <w:tabs>
          <w:tab w:val="left" w:pos="720"/>
        </w:tabs>
        <w:spacing w:before="40"/>
        <w:jc w:val="both"/>
        <w:rPr>
          <w:b/>
          <w:sz w:val="24"/>
        </w:rPr>
      </w:pPr>
      <w:r>
        <w:rPr>
          <w:b/>
          <w:sz w:val="24"/>
        </w:rPr>
        <w:t>Background</w:t>
      </w:r>
      <w:r>
        <w:rPr>
          <w:b/>
          <w:spacing w:val="-4"/>
          <w:sz w:val="24"/>
        </w:rPr>
        <w:t xml:space="preserve"> </w:t>
      </w:r>
      <w:r>
        <w:rPr>
          <w:b/>
          <w:sz w:val="24"/>
        </w:rPr>
        <w:t>of</w:t>
      </w:r>
      <w:r>
        <w:rPr>
          <w:b/>
          <w:spacing w:val="-2"/>
          <w:sz w:val="24"/>
        </w:rPr>
        <w:t xml:space="preserve"> </w:t>
      </w:r>
      <w:r>
        <w:rPr>
          <w:b/>
          <w:sz w:val="24"/>
        </w:rPr>
        <w:t>the</w:t>
      </w:r>
      <w:r>
        <w:rPr>
          <w:b/>
          <w:spacing w:val="-2"/>
          <w:sz w:val="24"/>
        </w:rPr>
        <w:t xml:space="preserve"> </w:t>
      </w:r>
      <w:r>
        <w:rPr>
          <w:b/>
          <w:spacing w:val="-4"/>
          <w:sz w:val="24"/>
        </w:rPr>
        <w:t>Study</w:t>
      </w:r>
    </w:p>
    <w:p w:rsidR="00E632C8" w:rsidRDefault="00D21170" w:rsidP="00CC1533">
      <w:pPr>
        <w:pStyle w:val="BodyText"/>
        <w:spacing w:before="41" w:line="276" w:lineRule="auto"/>
        <w:ind w:right="718"/>
      </w:pPr>
      <w:r>
        <w:t xml:space="preserve">The Indian banking sector has undergone a profound structural transformation over the past two decades, moving away from a predominantly branch-based, paper-intensive model of service </w:t>
      </w:r>
      <w:r>
        <w:lastRenderedPageBreak/>
        <w:t>delivery</w:t>
      </w:r>
      <w:r>
        <w:rPr>
          <w:spacing w:val="51"/>
          <w:w w:val="150"/>
        </w:rPr>
        <w:t xml:space="preserve"> </w:t>
      </w:r>
      <w:r>
        <w:t>toward</w:t>
      </w:r>
      <w:r>
        <w:rPr>
          <w:spacing w:val="53"/>
          <w:w w:val="150"/>
        </w:rPr>
        <w:t xml:space="preserve"> </w:t>
      </w:r>
      <w:r>
        <w:t>a</w:t>
      </w:r>
      <w:r>
        <w:rPr>
          <w:spacing w:val="52"/>
          <w:w w:val="150"/>
        </w:rPr>
        <w:t xml:space="preserve"> </w:t>
      </w:r>
      <w:r>
        <w:t>technology-enabled,</w:t>
      </w:r>
      <w:r>
        <w:rPr>
          <w:spacing w:val="53"/>
          <w:w w:val="150"/>
        </w:rPr>
        <w:t xml:space="preserve"> </w:t>
      </w:r>
      <w:r>
        <w:t>self-service</w:t>
      </w:r>
      <w:r>
        <w:rPr>
          <w:spacing w:val="52"/>
          <w:w w:val="150"/>
        </w:rPr>
        <w:t xml:space="preserve"> </w:t>
      </w:r>
      <w:r>
        <w:t>ecosystem.</w:t>
      </w:r>
      <w:r>
        <w:rPr>
          <w:spacing w:val="54"/>
          <w:w w:val="150"/>
        </w:rPr>
        <w:t xml:space="preserve"> </w:t>
      </w:r>
      <w:r>
        <w:t>Automated</w:t>
      </w:r>
      <w:r>
        <w:rPr>
          <w:spacing w:val="53"/>
          <w:w w:val="150"/>
        </w:rPr>
        <w:t xml:space="preserve"> </w:t>
      </w:r>
      <w:r>
        <w:t>teller</w:t>
      </w:r>
      <w:r>
        <w:rPr>
          <w:spacing w:val="52"/>
          <w:w w:val="150"/>
        </w:rPr>
        <w:t xml:space="preserve"> </w:t>
      </w:r>
      <w:r>
        <w:rPr>
          <w:spacing w:val="-2"/>
        </w:rPr>
        <w:t>machines</w:t>
      </w:r>
      <w:r>
        <w:rPr>
          <w:spacing w:val="-2"/>
        </w:rPr>
        <w:t>,</w:t>
      </w:r>
      <w:r w:rsidR="00CC1533">
        <w:t xml:space="preserve"> i</w:t>
      </w:r>
      <w:r>
        <w:t>nternet banking, mobile banking applications, Unified Payments Interface (UPI), and other digital channels have collectively redefined what customers expect from their bank. Within this changing landscape, service quality is no longer confined to the cour</w:t>
      </w:r>
      <w:r>
        <w:t>tesy of a bank clerk or the speed of a passbook update; it now extends to the reliability of a server, the responsiveness of a mobile application, and the security of an online transaction. For public sector banks such as State</w:t>
      </w:r>
      <w:r>
        <w:rPr>
          <w:spacing w:val="-1"/>
        </w:rPr>
        <w:t xml:space="preserve"> </w:t>
      </w:r>
      <w:r>
        <w:t>Bank of</w:t>
      </w:r>
      <w:r>
        <w:rPr>
          <w:spacing w:val="-1"/>
        </w:rPr>
        <w:t xml:space="preserve"> </w:t>
      </w:r>
      <w:r>
        <w:t>India</w:t>
      </w:r>
      <w:r>
        <w:rPr>
          <w:spacing w:val="-1"/>
        </w:rPr>
        <w:t xml:space="preserve"> </w:t>
      </w:r>
      <w:r>
        <w:t>(SBI), which continue</w:t>
      </w:r>
      <w:r>
        <w:rPr>
          <w:spacing w:val="-1"/>
        </w:rPr>
        <w:t xml:space="preserve"> </w:t>
      </w:r>
      <w:r>
        <w:t>to serve</w:t>
      </w:r>
      <w:r>
        <w:rPr>
          <w:spacing w:val="-1"/>
        </w:rPr>
        <w:t xml:space="preserve"> </w:t>
      </w:r>
      <w:r>
        <w:t>a</w:t>
      </w:r>
      <w:r>
        <w:rPr>
          <w:spacing w:val="-1"/>
        </w:rPr>
        <w:t xml:space="preserve"> </w:t>
      </w:r>
      <w:r>
        <w:t>very</w:t>
      </w:r>
      <w:r>
        <w:rPr>
          <w:spacing w:val="-1"/>
        </w:rPr>
        <w:t xml:space="preserve"> </w:t>
      </w:r>
      <w:r>
        <w:t>large</w:t>
      </w:r>
      <w:r>
        <w:rPr>
          <w:spacing w:val="-1"/>
        </w:rPr>
        <w:t xml:space="preserve"> </w:t>
      </w:r>
      <w:r>
        <w:t>proportion of</w:t>
      </w:r>
      <w:r>
        <w:rPr>
          <w:spacing w:val="-1"/>
        </w:rPr>
        <w:t xml:space="preserve"> </w:t>
      </w:r>
      <w:r>
        <w:t>first-generation and semi-urban banking customers, the challenge of delivering consistent, high-quality e-banking services is particularly significant, especially as customers increasingly migrate f</w:t>
      </w:r>
      <w:r>
        <w:t>rom assisted, staff-mediated transactions toward self-service technologies (</w:t>
      </w:r>
      <w:proofErr w:type="spellStart"/>
      <w:r>
        <w:t>Galdolage</w:t>
      </w:r>
      <w:proofErr w:type="spellEnd"/>
      <w:r>
        <w:t xml:space="preserve"> &amp; </w:t>
      </w:r>
      <w:proofErr w:type="spellStart"/>
      <w:r>
        <w:t>Rasanjalee</w:t>
      </w:r>
      <w:proofErr w:type="spellEnd"/>
      <w:r>
        <w:t xml:space="preserve">, 2022). Muzaffarpur district in Bihar, </w:t>
      </w:r>
      <w:proofErr w:type="spellStart"/>
      <w:r>
        <w:t>characterised</w:t>
      </w:r>
      <w:proofErr w:type="spellEnd"/>
      <w:r>
        <w:t xml:space="preserve"> by a mix of urban, semi-urban, and rural banking clientele, offers a useful setting in which to examine </w:t>
      </w:r>
      <w:r>
        <w:t>how customers actually experience e-banking, as distinct from how banks intend it to be experienced.</w:t>
      </w:r>
    </w:p>
    <w:p w:rsidR="00E632C8" w:rsidRDefault="00D21170">
      <w:pPr>
        <w:pStyle w:val="BodyText"/>
        <w:spacing w:before="1" w:line="276" w:lineRule="auto"/>
        <w:ind w:right="717"/>
      </w:pPr>
      <w:r>
        <w:t>Muzaffarpur, one of the older and more densely populated districts of north Bihar, presents an especially interesting case because it combines an establish</w:t>
      </w:r>
      <w:r>
        <w:t>ed urban commercial core with a</w:t>
      </w:r>
      <w:r>
        <w:rPr>
          <w:spacing w:val="40"/>
        </w:rPr>
        <w:t xml:space="preserve"> </w:t>
      </w:r>
      <w:r>
        <w:t>large surrounding semi-urban and agrarian hinterland. Customers drawn from this hinterland often open and continue to operate their accounts with SBI branches even after migrating temporarily for work, making the reliability</w:t>
      </w:r>
      <w:r>
        <w:t xml:space="preserve"> and remote accessibility of e-banking channels particularly</w:t>
      </w:r>
      <w:r>
        <w:rPr>
          <w:spacing w:val="-1"/>
        </w:rPr>
        <w:t xml:space="preserve"> </w:t>
      </w:r>
      <w:r>
        <w:t>consequential</w:t>
      </w:r>
      <w:r>
        <w:rPr>
          <w:spacing w:val="-1"/>
        </w:rPr>
        <w:t xml:space="preserve"> </w:t>
      </w:r>
      <w:r>
        <w:t>for</w:t>
      </w:r>
      <w:r>
        <w:rPr>
          <w:spacing w:val="-3"/>
        </w:rPr>
        <w:t xml:space="preserve"> </w:t>
      </w:r>
      <w:r>
        <w:t>maintaining</w:t>
      </w:r>
      <w:r>
        <w:rPr>
          <w:spacing w:val="-1"/>
        </w:rPr>
        <w:t xml:space="preserve"> </w:t>
      </w:r>
      <w:r>
        <w:t>an</w:t>
      </w:r>
      <w:r>
        <w:rPr>
          <w:spacing w:val="-1"/>
        </w:rPr>
        <w:t xml:space="preserve"> </w:t>
      </w:r>
      <w:r>
        <w:t>uninterrupted</w:t>
      </w:r>
      <w:r>
        <w:rPr>
          <w:spacing w:val="-1"/>
        </w:rPr>
        <w:t xml:space="preserve"> </w:t>
      </w:r>
      <w:r>
        <w:t>banking relationship.</w:t>
      </w:r>
      <w:r>
        <w:rPr>
          <w:spacing w:val="-1"/>
        </w:rPr>
        <w:t xml:space="preserve"> </w:t>
      </w:r>
      <w:r>
        <w:t>It</w:t>
      </w:r>
      <w:r>
        <w:rPr>
          <w:spacing w:val="-1"/>
        </w:rPr>
        <w:t xml:space="preserve"> </w:t>
      </w:r>
      <w:r>
        <w:t>is</w:t>
      </w:r>
      <w:r>
        <w:rPr>
          <w:spacing w:val="-1"/>
        </w:rPr>
        <w:t xml:space="preserve"> </w:t>
      </w:r>
      <w:r>
        <w:t>against this backdrop that the present study situates its inquiry into how service quality, as experienced through digit</w:t>
      </w:r>
      <w:r>
        <w:t>al channels, translates into customer satisfaction for a bank that remains, for many residents of the district, their first and often only formal banking relationship.</w:t>
      </w:r>
    </w:p>
    <w:p w:rsidR="00E632C8" w:rsidRDefault="00D21170">
      <w:pPr>
        <w:pStyle w:val="Heading1"/>
        <w:numPr>
          <w:ilvl w:val="1"/>
          <w:numId w:val="2"/>
        </w:numPr>
        <w:tabs>
          <w:tab w:val="left" w:pos="720"/>
        </w:tabs>
        <w:jc w:val="both"/>
      </w:pPr>
      <w:r>
        <w:t>Growth</w:t>
      </w:r>
      <w:r>
        <w:rPr>
          <w:spacing w:val="-5"/>
        </w:rPr>
        <w:t xml:space="preserve"> </w:t>
      </w:r>
      <w:r>
        <w:t>of</w:t>
      </w:r>
      <w:r>
        <w:rPr>
          <w:spacing w:val="-3"/>
        </w:rPr>
        <w:t xml:space="preserve"> </w:t>
      </w:r>
      <w:r>
        <w:t>E-Banking</w:t>
      </w:r>
      <w:r>
        <w:rPr>
          <w:spacing w:val="-3"/>
        </w:rPr>
        <w:t xml:space="preserve"> </w:t>
      </w:r>
      <w:r>
        <w:t>in</w:t>
      </w:r>
      <w:r>
        <w:rPr>
          <w:spacing w:val="-2"/>
        </w:rPr>
        <w:t xml:space="preserve"> </w:t>
      </w:r>
      <w:r>
        <w:t>the</w:t>
      </w:r>
      <w:r>
        <w:rPr>
          <w:spacing w:val="-3"/>
        </w:rPr>
        <w:t xml:space="preserve"> </w:t>
      </w:r>
      <w:r>
        <w:t>Indian</w:t>
      </w:r>
      <w:r>
        <w:rPr>
          <w:spacing w:val="-2"/>
        </w:rPr>
        <w:t xml:space="preserve"> </w:t>
      </w:r>
      <w:r>
        <w:t>Banking</w:t>
      </w:r>
      <w:r>
        <w:rPr>
          <w:spacing w:val="-3"/>
        </w:rPr>
        <w:t xml:space="preserve"> </w:t>
      </w:r>
      <w:r>
        <w:rPr>
          <w:spacing w:val="-2"/>
        </w:rPr>
        <w:t>Sector</w:t>
      </w:r>
    </w:p>
    <w:p w:rsidR="00E632C8" w:rsidRDefault="00D21170">
      <w:pPr>
        <w:pStyle w:val="BodyText"/>
        <w:spacing w:before="43" w:line="276" w:lineRule="auto"/>
        <w:ind w:right="715"/>
      </w:pPr>
      <w:r>
        <w:t>The expansion of e-banking in India has</w:t>
      </w:r>
      <w:r>
        <w:t xml:space="preserve"> been driven by a combination of regulatory push, technological diffusion, and changing consumer </w:t>
      </w:r>
      <w:proofErr w:type="spellStart"/>
      <w:r>
        <w:t>behaviour</w:t>
      </w:r>
      <w:proofErr w:type="spellEnd"/>
      <w:r>
        <w:t xml:space="preserve">. Government-led initiatives such as the Pradhan Mantri Jan </w:t>
      </w:r>
      <w:proofErr w:type="spellStart"/>
      <w:r>
        <w:t>Dhan</w:t>
      </w:r>
      <w:proofErr w:type="spellEnd"/>
      <w:r>
        <w:t xml:space="preserve"> Yojana, the Digital India </w:t>
      </w:r>
      <w:proofErr w:type="spellStart"/>
      <w:r>
        <w:t>programme</w:t>
      </w:r>
      <w:proofErr w:type="spellEnd"/>
      <w:r>
        <w:t>, and the promotion of UPI-based payments have sub</w:t>
      </w:r>
      <w:r>
        <w:t>stantially widened the base of banked and digitally active customers, including in smaller towns and rural pockets of states such as Bihar. The Reserve Bank of India has reported a sustained rise in the volume and value of digital transactions over the pas</w:t>
      </w:r>
      <w:r>
        <w:t>t several years, reflecting both increased smartphone penetration and greater comfort among customers with online financial transactions. This pattern mirrors international evidence that crisis-driven and pandemic-era conditions can sharply accelerate digi</w:t>
      </w:r>
      <w:r>
        <w:t>tal financial service adoption, as documented</w:t>
      </w:r>
      <w:r>
        <w:rPr>
          <w:spacing w:val="-2"/>
        </w:rPr>
        <w:t xml:space="preserve"> </w:t>
      </w:r>
      <w:r>
        <w:t>for</w:t>
      </w:r>
      <w:r>
        <w:rPr>
          <w:spacing w:val="-1"/>
        </w:rPr>
        <w:t xml:space="preserve"> </w:t>
      </w:r>
      <w:r>
        <w:t>financial institutions</w:t>
      </w:r>
      <w:r>
        <w:rPr>
          <w:spacing w:val="-3"/>
        </w:rPr>
        <w:t xml:space="preserve"> </w:t>
      </w:r>
      <w:r>
        <w:t>in</w:t>
      </w:r>
      <w:r>
        <w:rPr>
          <w:spacing w:val="-2"/>
        </w:rPr>
        <w:t xml:space="preserve"> </w:t>
      </w:r>
      <w:r>
        <w:t>Nigeria</w:t>
      </w:r>
      <w:r>
        <w:rPr>
          <w:spacing w:val="-4"/>
        </w:rPr>
        <w:t xml:space="preserve"> </w:t>
      </w:r>
      <w:r>
        <w:t>by</w:t>
      </w:r>
      <w:r>
        <w:rPr>
          <w:spacing w:val="-2"/>
        </w:rPr>
        <w:t xml:space="preserve"> </w:t>
      </w:r>
      <w:r>
        <w:t>Edo</w:t>
      </w:r>
      <w:r>
        <w:rPr>
          <w:spacing w:val="-2"/>
        </w:rPr>
        <w:t xml:space="preserve"> </w:t>
      </w:r>
      <w:r>
        <w:t>et al.</w:t>
      </w:r>
      <w:r>
        <w:rPr>
          <w:spacing w:val="-2"/>
        </w:rPr>
        <w:t xml:space="preserve"> </w:t>
      </w:r>
      <w:r>
        <w:t>(2023)</w:t>
      </w:r>
      <w:r>
        <w:rPr>
          <w:spacing w:val="-1"/>
        </w:rPr>
        <w:t xml:space="preserve"> </w:t>
      </w:r>
      <w:r>
        <w:t>and</w:t>
      </w:r>
      <w:r>
        <w:rPr>
          <w:spacing w:val="-2"/>
        </w:rPr>
        <w:t xml:space="preserve"> </w:t>
      </w:r>
      <w:r>
        <w:t>for</w:t>
      </w:r>
      <w:r>
        <w:rPr>
          <w:spacing w:val="-2"/>
        </w:rPr>
        <w:t xml:space="preserve"> </w:t>
      </w:r>
      <w:r>
        <w:t>digital</w:t>
      </w:r>
      <w:r>
        <w:rPr>
          <w:spacing w:val="-2"/>
        </w:rPr>
        <w:t xml:space="preserve"> </w:t>
      </w:r>
      <w:r>
        <w:t>banking</w:t>
      </w:r>
      <w:r>
        <w:rPr>
          <w:spacing w:val="-2"/>
        </w:rPr>
        <w:t xml:space="preserve"> </w:t>
      </w:r>
      <w:r>
        <w:t>users in Vietnam by Nguyen and Dang (2024). At the same time, this rapid expansion has exposed persistent gaps in digital liter</w:t>
      </w:r>
      <w:r>
        <w:t xml:space="preserve">acy, network connectivity, cybersecurity awareness, and grievance redressal mechanisms, especially outside metropolitan </w:t>
      </w:r>
      <w:proofErr w:type="spellStart"/>
      <w:r>
        <w:t>centres</w:t>
      </w:r>
      <w:proofErr w:type="spellEnd"/>
      <w:r>
        <w:t>, consistent with broader findings that</w:t>
      </w:r>
      <w:r>
        <w:rPr>
          <w:spacing w:val="5"/>
        </w:rPr>
        <w:t xml:space="preserve"> </w:t>
      </w:r>
      <w:r>
        <w:t>mobile-only</w:t>
      </w:r>
      <w:r>
        <w:rPr>
          <w:spacing w:val="8"/>
        </w:rPr>
        <w:t xml:space="preserve"> </w:t>
      </w:r>
      <w:r>
        <w:t>internet</w:t>
      </w:r>
      <w:r>
        <w:rPr>
          <w:spacing w:val="11"/>
        </w:rPr>
        <w:t xml:space="preserve"> </w:t>
      </w:r>
      <w:r>
        <w:t>access</w:t>
      </w:r>
      <w:r>
        <w:rPr>
          <w:spacing w:val="8"/>
        </w:rPr>
        <w:t xml:space="preserve"> </w:t>
      </w:r>
      <w:r>
        <w:t>is</w:t>
      </w:r>
      <w:r>
        <w:rPr>
          <w:spacing w:val="8"/>
        </w:rPr>
        <w:t xml:space="preserve"> </w:t>
      </w:r>
      <w:r>
        <w:t>often</w:t>
      </w:r>
      <w:r>
        <w:rPr>
          <w:spacing w:val="10"/>
        </w:rPr>
        <w:t xml:space="preserve"> </w:t>
      </w:r>
      <w:r>
        <w:t>associated</w:t>
      </w:r>
      <w:r>
        <w:rPr>
          <w:spacing w:val="8"/>
        </w:rPr>
        <w:t xml:space="preserve"> </w:t>
      </w:r>
      <w:r>
        <w:t>with</w:t>
      </w:r>
      <w:r>
        <w:rPr>
          <w:spacing w:val="8"/>
        </w:rPr>
        <w:t xml:space="preserve"> </w:t>
      </w:r>
      <w:r>
        <w:t>narrower</w:t>
      </w:r>
      <w:r>
        <w:rPr>
          <w:spacing w:val="6"/>
        </w:rPr>
        <w:t xml:space="preserve"> </w:t>
      </w:r>
      <w:r>
        <w:t>digital</w:t>
      </w:r>
      <w:r>
        <w:rPr>
          <w:spacing w:val="8"/>
        </w:rPr>
        <w:t xml:space="preserve"> </w:t>
      </w:r>
      <w:r>
        <w:t>skills</w:t>
      </w:r>
      <w:r>
        <w:rPr>
          <w:spacing w:val="9"/>
        </w:rPr>
        <w:t xml:space="preserve"> </w:t>
      </w:r>
      <w:r>
        <w:t>and</w:t>
      </w:r>
      <w:r>
        <w:rPr>
          <w:spacing w:val="8"/>
        </w:rPr>
        <w:t xml:space="preserve"> </w:t>
      </w:r>
      <w:r>
        <w:t>more</w:t>
      </w:r>
      <w:r>
        <w:rPr>
          <w:spacing w:val="7"/>
        </w:rPr>
        <w:t xml:space="preserve"> </w:t>
      </w:r>
      <w:r>
        <w:rPr>
          <w:spacing w:val="-2"/>
        </w:rPr>
        <w:t>limited</w:t>
      </w:r>
    </w:p>
    <w:p w:rsidR="00E632C8" w:rsidRDefault="00E632C8">
      <w:pPr>
        <w:pStyle w:val="BodyText"/>
        <w:spacing w:line="276" w:lineRule="auto"/>
        <w:sectPr w:rsidR="00E632C8" w:rsidSect="00CC1533">
          <w:headerReference w:type="default" r:id="rId7"/>
          <w:footerReference w:type="default" r:id="rId8"/>
          <w:pgSz w:w="12240" w:h="15840"/>
          <w:pgMar w:top="2600" w:right="720" w:bottom="1280" w:left="1080" w:header="718" w:footer="1094" w:gutter="0"/>
          <w:pgNumType w:start="549"/>
          <w:cols w:space="720"/>
        </w:sectPr>
      </w:pPr>
    </w:p>
    <w:p w:rsidR="00E632C8" w:rsidRDefault="00D21170">
      <w:pPr>
        <w:pStyle w:val="BodyText"/>
        <w:spacing w:before="272" w:line="276" w:lineRule="auto"/>
        <w:ind w:right="718"/>
      </w:pPr>
      <w:r>
        <w:t xml:space="preserve">service use than access through computers (Correa, </w:t>
      </w:r>
      <w:proofErr w:type="spellStart"/>
      <w:r>
        <w:t>Pavez</w:t>
      </w:r>
      <w:proofErr w:type="spellEnd"/>
      <w:r>
        <w:t>, &amp; Contreras, 2020). These gaps make the study of e-banking service quality in a district such as Muzaffarpur both timely and practically relevant, since national-level statisti</w:t>
      </w:r>
      <w:r>
        <w:t>cs on digital adoption often mask considerable variation in actual customer experience at the branch level.</w:t>
      </w:r>
    </w:p>
    <w:p w:rsidR="00E632C8" w:rsidRDefault="00D21170">
      <w:pPr>
        <w:pStyle w:val="Heading1"/>
        <w:numPr>
          <w:ilvl w:val="1"/>
          <w:numId w:val="2"/>
        </w:numPr>
        <w:tabs>
          <w:tab w:val="left" w:pos="720"/>
        </w:tabs>
        <w:jc w:val="both"/>
      </w:pPr>
      <w:r>
        <w:t>Profile</w:t>
      </w:r>
      <w:r>
        <w:rPr>
          <w:spacing w:val="-3"/>
        </w:rPr>
        <w:t xml:space="preserve"> </w:t>
      </w:r>
      <w:r>
        <w:t>of</w:t>
      </w:r>
      <w:r>
        <w:rPr>
          <w:spacing w:val="-1"/>
        </w:rPr>
        <w:t xml:space="preserve"> </w:t>
      </w:r>
      <w:r>
        <w:t>State</w:t>
      </w:r>
      <w:r>
        <w:rPr>
          <w:spacing w:val="-2"/>
        </w:rPr>
        <w:t xml:space="preserve"> </w:t>
      </w:r>
      <w:r>
        <w:t>Bank</w:t>
      </w:r>
      <w:r>
        <w:rPr>
          <w:spacing w:val="-1"/>
        </w:rPr>
        <w:t xml:space="preserve"> </w:t>
      </w:r>
      <w:r>
        <w:t>of</w:t>
      </w:r>
      <w:r>
        <w:rPr>
          <w:spacing w:val="-1"/>
        </w:rPr>
        <w:t xml:space="preserve"> </w:t>
      </w:r>
      <w:r>
        <w:t>India</w:t>
      </w:r>
      <w:r>
        <w:rPr>
          <w:spacing w:val="-1"/>
        </w:rPr>
        <w:t xml:space="preserve"> </w:t>
      </w:r>
      <w:r>
        <w:t>and</w:t>
      </w:r>
      <w:r>
        <w:rPr>
          <w:spacing w:val="-1"/>
        </w:rPr>
        <w:t xml:space="preserve"> </w:t>
      </w:r>
      <w:r>
        <w:t>Its</w:t>
      </w:r>
      <w:r>
        <w:rPr>
          <w:spacing w:val="-2"/>
        </w:rPr>
        <w:t xml:space="preserve"> </w:t>
      </w:r>
      <w:r>
        <w:t>E-Banking</w:t>
      </w:r>
      <w:r>
        <w:rPr>
          <w:spacing w:val="-1"/>
        </w:rPr>
        <w:t xml:space="preserve"> </w:t>
      </w:r>
      <w:r>
        <w:rPr>
          <w:spacing w:val="-2"/>
        </w:rPr>
        <w:t>Initiatives</w:t>
      </w:r>
    </w:p>
    <w:p w:rsidR="00E632C8" w:rsidRDefault="00D21170">
      <w:pPr>
        <w:pStyle w:val="BodyText"/>
        <w:spacing w:before="43" w:line="276" w:lineRule="auto"/>
        <w:ind w:right="715"/>
      </w:pPr>
      <w:r>
        <w:t>State Bank of India, the country's largest public sector bank by branch network and cus</w:t>
      </w:r>
      <w:r>
        <w:t xml:space="preserve">tomer base, has invested heavily in digital transformation through platforms such as YONO (You Only Need One), SBI Internet Banking (INB), the SBI Quick missed-call and SMS banking service, and an extensive ATM and cash-deposit-machine network, reflecting </w:t>
      </w:r>
      <w:r>
        <w:t>a wider trend of artificial-intelligence-driven technology adoption across the Indian banking and financial sector (Deepthi, Gupta, Rai, &amp; Arora, 2022). In Muzaffarpur district, SBI operates a dense network of branches serving government employees, small t</w:t>
      </w:r>
      <w:r>
        <w:t>raders, farmers, students, and daily-wage earners, many</w:t>
      </w:r>
      <w:r>
        <w:rPr>
          <w:spacing w:val="40"/>
        </w:rPr>
        <w:t xml:space="preserve"> </w:t>
      </w:r>
      <w:r>
        <w:t xml:space="preserve">of whom have only recently transitioned from purely branch-based banking to hybrid or fully digital banking relationships. This transition creates a distinctive customer base in which expectations of </w:t>
      </w:r>
      <w:r>
        <w:t>service quality are shaped as much by traditional branch experiences—queueing, staff courtesy, and physical accessibility—as by digital-era expectations of speed, availability, and ease of use. Understanding how these two sets of expectations interact is c</w:t>
      </w:r>
      <w:r>
        <w:t>entral to</w:t>
      </w:r>
      <w:r>
        <w:rPr>
          <w:spacing w:val="40"/>
        </w:rPr>
        <w:t xml:space="preserve"> </w:t>
      </w:r>
      <w:r>
        <w:t>evaluating e-banking service quality in this specific geographic and socio-economic context.</w:t>
      </w:r>
    </w:p>
    <w:p w:rsidR="00E632C8" w:rsidRDefault="00D21170">
      <w:pPr>
        <w:pStyle w:val="Heading1"/>
        <w:numPr>
          <w:ilvl w:val="1"/>
          <w:numId w:val="2"/>
        </w:numPr>
        <w:tabs>
          <w:tab w:val="left" w:pos="720"/>
        </w:tabs>
        <w:spacing w:before="1"/>
        <w:jc w:val="both"/>
      </w:pPr>
      <w:r>
        <w:t>Research</w:t>
      </w:r>
      <w:r>
        <w:rPr>
          <w:spacing w:val="-3"/>
        </w:rPr>
        <w:t xml:space="preserve"> </w:t>
      </w:r>
      <w:r>
        <w:rPr>
          <w:spacing w:val="-2"/>
        </w:rPr>
        <w:t>Problem</w:t>
      </w:r>
    </w:p>
    <w:p w:rsidR="00E632C8" w:rsidRDefault="00D21170">
      <w:pPr>
        <w:pStyle w:val="BodyText"/>
        <w:spacing w:before="41" w:line="276" w:lineRule="auto"/>
      </w:pPr>
      <w:r>
        <w:t>Despite the rapid rollout of digital banking infrastructure, customers in semi-urban districts such as Muzaffarpur frequently report difficulties ranging from server downtime and failed transactions</w:t>
      </w:r>
      <w:r>
        <w:rPr>
          <w:spacing w:val="-4"/>
        </w:rPr>
        <w:t xml:space="preserve"> </w:t>
      </w:r>
      <w:r>
        <w:t>to</w:t>
      </w:r>
      <w:r>
        <w:rPr>
          <w:spacing w:val="-3"/>
        </w:rPr>
        <w:t xml:space="preserve"> </w:t>
      </w:r>
      <w:r>
        <w:t>inadequate</w:t>
      </w:r>
      <w:r>
        <w:rPr>
          <w:spacing w:val="-4"/>
        </w:rPr>
        <w:t xml:space="preserve"> </w:t>
      </w:r>
      <w:r>
        <w:t>assistance</w:t>
      </w:r>
      <w:r>
        <w:rPr>
          <w:spacing w:val="-4"/>
        </w:rPr>
        <w:t xml:space="preserve"> </w:t>
      </w:r>
      <w:r>
        <w:t>in</w:t>
      </w:r>
      <w:r>
        <w:rPr>
          <w:spacing w:val="-2"/>
        </w:rPr>
        <w:t xml:space="preserve"> </w:t>
      </w:r>
      <w:r>
        <w:t>resolving</w:t>
      </w:r>
      <w:r>
        <w:rPr>
          <w:spacing w:val="-2"/>
        </w:rPr>
        <w:t xml:space="preserve"> </w:t>
      </w:r>
      <w:r>
        <w:t>digital</w:t>
      </w:r>
      <w:r>
        <w:rPr>
          <w:spacing w:val="-3"/>
        </w:rPr>
        <w:t xml:space="preserve"> </w:t>
      </w:r>
      <w:r>
        <w:t>banking</w:t>
      </w:r>
      <w:r>
        <w:rPr>
          <w:spacing w:val="-3"/>
        </w:rPr>
        <w:t xml:space="preserve"> </w:t>
      </w:r>
      <w:r>
        <w:t>com</w:t>
      </w:r>
      <w:r>
        <w:t>plaints.</w:t>
      </w:r>
      <w:r>
        <w:rPr>
          <w:spacing w:val="-3"/>
        </w:rPr>
        <w:t xml:space="preserve"> </w:t>
      </w:r>
      <w:r>
        <w:t>Anecdotal</w:t>
      </w:r>
      <w:r>
        <w:rPr>
          <w:spacing w:val="-2"/>
        </w:rPr>
        <w:t xml:space="preserve"> </w:t>
      </w:r>
      <w:r>
        <w:t>evidence from local branches and popular discourse suggests that while awareness of e-banking facilities has increased, actual satisfaction with the quality of these services remains uneven. Existing academic literature on e-banking serv</w:t>
      </w:r>
      <w:r>
        <w:t>ice quality in India has largely concentrated on</w:t>
      </w:r>
      <w:r>
        <w:rPr>
          <w:spacing w:val="40"/>
        </w:rPr>
        <w:t xml:space="preserve"> </w:t>
      </w:r>
      <w:r>
        <w:t xml:space="preserve">metropolitan cities and national- or state-level samples—Kapoor (2015), for instance, examined e-banking customer satisfaction only within the </w:t>
      </w:r>
      <w:proofErr w:type="spellStart"/>
      <w:r>
        <w:t>Tricity</w:t>
      </w:r>
      <w:proofErr w:type="spellEnd"/>
      <w:r>
        <w:t xml:space="preserve"> region of Chandigarh, Panchkula, and Mohali—leaving a ga</w:t>
      </w:r>
      <w:r>
        <w:t>p in branch-level, district-specific evidence from Bihar in general and Muzaffarpur in particular. Without empirical evidence on which specific service quality dimensions</w:t>
      </w:r>
      <w:r>
        <w:rPr>
          <w:spacing w:val="-1"/>
        </w:rPr>
        <w:t xml:space="preserve"> </w:t>
      </w:r>
      <w:r>
        <w:t>most strongly</w:t>
      </w:r>
      <w:r>
        <w:rPr>
          <w:spacing w:val="-1"/>
        </w:rPr>
        <w:t xml:space="preserve"> </w:t>
      </w:r>
      <w:r>
        <w:t>influence customer</w:t>
      </w:r>
      <w:r>
        <w:rPr>
          <w:spacing w:val="-2"/>
        </w:rPr>
        <w:t xml:space="preserve"> </w:t>
      </w:r>
      <w:r>
        <w:t>satisfaction</w:t>
      </w:r>
      <w:r>
        <w:rPr>
          <w:spacing w:val="-1"/>
        </w:rPr>
        <w:t xml:space="preserve"> </w:t>
      </w:r>
      <w:r>
        <w:t>in</w:t>
      </w:r>
      <w:r>
        <w:rPr>
          <w:spacing w:val="-1"/>
        </w:rPr>
        <w:t xml:space="preserve"> </w:t>
      </w:r>
      <w:r>
        <w:t>this</w:t>
      </w:r>
      <w:r>
        <w:rPr>
          <w:spacing w:val="-1"/>
        </w:rPr>
        <w:t xml:space="preserve"> </w:t>
      </w:r>
      <w:r>
        <w:t>local</w:t>
      </w:r>
      <w:r>
        <w:rPr>
          <w:spacing w:val="-1"/>
        </w:rPr>
        <w:t xml:space="preserve"> </w:t>
      </w:r>
      <w:r>
        <w:t>context,</w:t>
      </w:r>
      <w:r>
        <w:rPr>
          <w:spacing w:val="-1"/>
        </w:rPr>
        <w:t xml:space="preserve"> </w:t>
      </w:r>
      <w:r>
        <w:t>bank</w:t>
      </w:r>
      <w:r>
        <w:rPr>
          <w:spacing w:val="-1"/>
        </w:rPr>
        <w:t xml:space="preserve"> </w:t>
      </w:r>
      <w:r>
        <w:t>management may continue to allocate resources toward generic digital upgrades rather than the specific</w:t>
      </w:r>
      <w:r>
        <w:rPr>
          <w:spacing w:val="40"/>
        </w:rPr>
        <w:t xml:space="preserve"> </w:t>
      </w:r>
      <w:r>
        <w:t>service attributes that matter most to their actual customer base. This study addresses that gap by empirically testing the relationship between SERVQUAL</w:t>
      </w:r>
      <w:r>
        <w:t>-based service quality dimensions and customer satisfaction among SBI e-banking customers in Muzaffarpur district.</w:t>
      </w:r>
    </w:p>
    <w:p w:rsidR="00E632C8" w:rsidRDefault="00E632C8">
      <w:pPr>
        <w:pStyle w:val="BodyText"/>
        <w:spacing w:line="276" w:lineRule="auto"/>
        <w:sectPr w:rsidR="00E632C8">
          <w:pgSz w:w="12240" w:h="15840"/>
          <w:pgMar w:top="2600" w:right="720" w:bottom="1280" w:left="1080" w:header="718" w:footer="1094" w:gutter="0"/>
          <w:cols w:space="720"/>
        </w:sectPr>
      </w:pPr>
    </w:p>
    <w:p w:rsidR="00E632C8" w:rsidRDefault="00D21170">
      <w:pPr>
        <w:pStyle w:val="Heading1"/>
        <w:numPr>
          <w:ilvl w:val="1"/>
          <w:numId w:val="2"/>
        </w:numPr>
        <w:tabs>
          <w:tab w:val="left" w:pos="720"/>
        </w:tabs>
        <w:spacing w:before="272"/>
      </w:pPr>
      <w:r>
        <w:t>Objectives</w:t>
      </w:r>
      <w:r>
        <w:rPr>
          <w:spacing w:val="-3"/>
        </w:rPr>
        <w:t xml:space="preserve"> </w:t>
      </w:r>
      <w:r>
        <w:t>and</w:t>
      </w:r>
      <w:r>
        <w:rPr>
          <w:spacing w:val="-2"/>
        </w:rPr>
        <w:t xml:space="preserve"> </w:t>
      </w:r>
      <w:r>
        <w:t>Scope</w:t>
      </w:r>
      <w:r>
        <w:rPr>
          <w:spacing w:val="-3"/>
        </w:rPr>
        <w:t xml:space="preserve"> </w:t>
      </w:r>
      <w:r>
        <w:t>of</w:t>
      </w:r>
      <w:r>
        <w:rPr>
          <w:spacing w:val="-3"/>
        </w:rPr>
        <w:t xml:space="preserve"> </w:t>
      </w:r>
      <w:r>
        <w:t>the</w:t>
      </w:r>
      <w:r>
        <w:rPr>
          <w:spacing w:val="-2"/>
        </w:rPr>
        <w:t xml:space="preserve"> </w:t>
      </w:r>
      <w:r>
        <w:rPr>
          <w:spacing w:val="-4"/>
        </w:rPr>
        <w:t>Study</w:t>
      </w:r>
    </w:p>
    <w:p w:rsidR="00E632C8" w:rsidRDefault="00D21170">
      <w:pPr>
        <w:pStyle w:val="BodyText"/>
        <w:spacing w:before="43"/>
        <w:ind w:right="0"/>
        <w:jc w:val="left"/>
      </w:pPr>
      <w:r>
        <w:t>The</w:t>
      </w:r>
      <w:r>
        <w:rPr>
          <w:spacing w:val="-3"/>
        </w:rPr>
        <w:t xml:space="preserve"> </w:t>
      </w:r>
      <w:r>
        <w:t>study is</w:t>
      </w:r>
      <w:r>
        <w:rPr>
          <w:spacing w:val="-1"/>
        </w:rPr>
        <w:t xml:space="preserve"> </w:t>
      </w:r>
      <w:r>
        <w:t>guided by the</w:t>
      </w:r>
      <w:r>
        <w:rPr>
          <w:spacing w:val="-1"/>
        </w:rPr>
        <w:t xml:space="preserve"> </w:t>
      </w:r>
      <w:r>
        <w:t xml:space="preserve">following </w:t>
      </w:r>
      <w:r>
        <w:rPr>
          <w:spacing w:val="-2"/>
        </w:rPr>
        <w:t>objectives:</w:t>
      </w:r>
    </w:p>
    <w:p w:rsidR="00E632C8" w:rsidRDefault="00D21170">
      <w:pPr>
        <w:pStyle w:val="ListParagraph"/>
        <w:numPr>
          <w:ilvl w:val="2"/>
          <w:numId w:val="2"/>
        </w:numPr>
        <w:tabs>
          <w:tab w:val="left" w:pos="1080"/>
        </w:tabs>
        <w:spacing w:before="41" w:line="276" w:lineRule="auto"/>
        <w:ind w:right="923"/>
        <w:jc w:val="left"/>
        <w:rPr>
          <w:sz w:val="24"/>
        </w:rPr>
      </w:pPr>
      <w:r>
        <w:rPr>
          <w:sz w:val="24"/>
        </w:rPr>
        <w:t>To</w:t>
      </w:r>
      <w:r>
        <w:rPr>
          <w:spacing w:val="-3"/>
          <w:sz w:val="24"/>
        </w:rPr>
        <w:t xml:space="preserve"> </w:t>
      </w:r>
      <w:r>
        <w:rPr>
          <w:sz w:val="24"/>
        </w:rPr>
        <w:t>examine</w:t>
      </w:r>
      <w:r>
        <w:rPr>
          <w:spacing w:val="-4"/>
          <w:sz w:val="24"/>
        </w:rPr>
        <w:t xml:space="preserve"> </w:t>
      </w:r>
      <w:r>
        <w:rPr>
          <w:sz w:val="24"/>
        </w:rPr>
        <w:t>the</w:t>
      </w:r>
      <w:r>
        <w:rPr>
          <w:spacing w:val="-3"/>
          <w:sz w:val="24"/>
        </w:rPr>
        <w:t xml:space="preserve"> </w:t>
      </w:r>
      <w:r>
        <w:rPr>
          <w:sz w:val="24"/>
        </w:rPr>
        <w:t>demographic</w:t>
      </w:r>
      <w:r>
        <w:rPr>
          <w:spacing w:val="-3"/>
          <w:sz w:val="24"/>
        </w:rPr>
        <w:t xml:space="preserve"> </w:t>
      </w:r>
      <w:r>
        <w:rPr>
          <w:sz w:val="24"/>
        </w:rPr>
        <w:t>and</w:t>
      </w:r>
      <w:r>
        <w:rPr>
          <w:spacing w:val="-3"/>
          <w:sz w:val="24"/>
        </w:rPr>
        <w:t xml:space="preserve"> </w:t>
      </w:r>
      <w:r>
        <w:rPr>
          <w:sz w:val="24"/>
        </w:rPr>
        <w:t>usage</w:t>
      </w:r>
      <w:r>
        <w:rPr>
          <w:spacing w:val="-4"/>
          <w:sz w:val="24"/>
        </w:rPr>
        <w:t xml:space="preserve"> </w:t>
      </w:r>
      <w:r>
        <w:rPr>
          <w:sz w:val="24"/>
        </w:rPr>
        <w:t>profile</w:t>
      </w:r>
      <w:r>
        <w:rPr>
          <w:spacing w:val="-4"/>
          <w:sz w:val="24"/>
        </w:rPr>
        <w:t xml:space="preserve"> </w:t>
      </w:r>
      <w:r>
        <w:rPr>
          <w:sz w:val="24"/>
        </w:rPr>
        <w:t>of</w:t>
      </w:r>
      <w:r>
        <w:rPr>
          <w:spacing w:val="-2"/>
          <w:sz w:val="24"/>
        </w:rPr>
        <w:t xml:space="preserve"> </w:t>
      </w:r>
      <w:r>
        <w:rPr>
          <w:sz w:val="24"/>
        </w:rPr>
        <w:t>e-banking</w:t>
      </w:r>
      <w:r>
        <w:rPr>
          <w:spacing w:val="-3"/>
          <w:sz w:val="24"/>
        </w:rPr>
        <w:t xml:space="preserve"> </w:t>
      </w:r>
      <w:r>
        <w:rPr>
          <w:sz w:val="24"/>
        </w:rPr>
        <w:t>customers</w:t>
      </w:r>
      <w:r>
        <w:rPr>
          <w:spacing w:val="-4"/>
          <w:sz w:val="24"/>
        </w:rPr>
        <w:t xml:space="preserve"> </w:t>
      </w:r>
      <w:r>
        <w:rPr>
          <w:sz w:val="24"/>
        </w:rPr>
        <w:t>of</w:t>
      </w:r>
      <w:r>
        <w:rPr>
          <w:spacing w:val="-3"/>
          <w:sz w:val="24"/>
        </w:rPr>
        <w:t xml:space="preserve"> </w:t>
      </w:r>
      <w:r>
        <w:rPr>
          <w:sz w:val="24"/>
        </w:rPr>
        <w:t>SBI</w:t>
      </w:r>
      <w:r>
        <w:rPr>
          <w:spacing w:val="-7"/>
          <w:sz w:val="24"/>
        </w:rPr>
        <w:t xml:space="preserve"> </w:t>
      </w:r>
      <w:r>
        <w:rPr>
          <w:sz w:val="24"/>
        </w:rPr>
        <w:t>branches in Muzaffarpur district.</w:t>
      </w:r>
    </w:p>
    <w:p w:rsidR="00E632C8" w:rsidRDefault="00D21170">
      <w:pPr>
        <w:pStyle w:val="ListParagraph"/>
        <w:numPr>
          <w:ilvl w:val="2"/>
          <w:numId w:val="2"/>
        </w:numPr>
        <w:tabs>
          <w:tab w:val="left" w:pos="1080"/>
        </w:tabs>
        <w:spacing w:line="278" w:lineRule="auto"/>
        <w:ind w:right="806"/>
        <w:jc w:val="left"/>
        <w:rPr>
          <w:sz w:val="24"/>
        </w:rPr>
      </w:pPr>
      <w:r>
        <w:rPr>
          <w:sz w:val="24"/>
        </w:rPr>
        <w:t>To</w:t>
      </w:r>
      <w:r>
        <w:rPr>
          <w:spacing w:val="-4"/>
          <w:sz w:val="24"/>
        </w:rPr>
        <w:t xml:space="preserve"> </w:t>
      </w:r>
      <w:r>
        <w:rPr>
          <w:sz w:val="24"/>
        </w:rPr>
        <w:t>assess</w:t>
      </w:r>
      <w:r>
        <w:rPr>
          <w:spacing w:val="-5"/>
          <w:sz w:val="24"/>
        </w:rPr>
        <w:t xml:space="preserve"> </w:t>
      </w:r>
      <w:r>
        <w:rPr>
          <w:sz w:val="24"/>
        </w:rPr>
        <w:t>customer</w:t>
      </w:r>
      <w:r>
        <w:rPr>
          <w:spacing w:val="-4"/>
          <w:sz w:val="24"/>
        </w:rPr>
        <w:t xml:space="preserve"> </w:t>
      </w:r>
      <w:r>
        <w:rPr>
          <w:sz w:val="24"/>
        </w:rPr>
        <w:t>perceptions</w:t>
      </w:r>
      <w:r>
        <w:rPr>
          <w:spacing w:val="-5"/>
          <w:sz w:val="24"/>
        </w:rPr>
        <w:t xml:space="preserve"> </w:t>
      </w:r>
      <w:r>
        <w:rPr>
          <w:sz w:val="24"/>
        </w:rPr>
        <w:t>of</w:t>
      </w:r>
      <w:r>
        <w:rPr>
          <w:spacing w:val="-4"/>
          <w:sz w:val="24"/>
        </w:rPr>
        <w:t xml:space="preserve"> </w:t>
      </w:r>
      <w:r>
        <w:rPr>
          <w:sz w:val="24"/>
        </w:rPr>
        <w:t>e-banking</w:t>
      </w:r>
      <w:r>
        <w:rPr>
          <w:spacing w:val="-4"/>
          <w:sz w:val="24"/>
        </w:rPr>
        <w:t xml:space="preserve"> </w:t>
      </w:r>
      <w:r>
        <w:rPr>
          <w:sz w:val="24"/>
        </w:rPr>
        <w:t>service</w:t>
      </w:r>
      <w:r>
        <w:rPr>
          <w:spacing w:val="-5"/>
          <w:sz w:val="24"/>
        </w:rPr>
        <w:t xml:space="preserve"> </w:t>
      </w:r>
      <w:r>
        <w:rPr>
          <w:sz w:val="24"/>
        </w:rPr>
        <w:t>quality</w:t>
      </w:r>
      <w:r>
        <w:rPr>
          <w:spacing w:val="-4"/>
          <w:sz w:val="24"/>
        </w:rPr>
        <w:t xml:space="preserve"> </w:t>
      </w:r>
      <w:r>
        <w:rPr>
          <w:sz w:val="24"/>
        </w:rPr>
        <w:t>across</w:t>
      </w:r>
      <w:r>
        <w:rPr>
          <w:spacing w:val="-5"/>
          <w:sz w:val="24"/>
        </w:rPr>
        <w:t xml:space="preserve"> </w:t>
      </w:r>
      <w:r>
        <w:rPr>
          <w:sz w:val="24"/>
        </w:rPr>
        <w:t>the</w:t>
      </w:r>
      <w:r>
        <w:rPr>
          <w:spacing w:val="-4"/>
          <w:sz w:val="24"/>
        </w:rPr>
        <w:t xml:space="preserve"> </w:t>
      </w:r>
      <w:r>
        <w:rPr>
          <w:sz w:val="24"/>
        </w:rPr>
        <w:t>five</w:t>
      </w:r>
      <w:r>
        <w:rPr>
          <w:spacing w:val="-3"/>
          <w:sz w:val="24"/>
        </w:rPr>
        <w:t xml:space="preserve"> </w:t>
      </w:r>
      <w:r>
        <w:rPr>
          <w:sz w:val="24"/>
        </w:rPr>
        <w:t>SERVQUAL dimensions—reliability, responsiveness, assurance, empathy, and tangibility.</w:t>
      </w:r>
    </w:p>
    <w:p w:rsidR="00E632C8" w:rsidRDefault="00D21170">
      <w:pPr>
        <w:pStyle w:val="ListParagraph"/>
        <w:numPr>
          <w:ilvl w:val="2"/>
          <w:numId w:val="2"/>
        </w:numPr>
        <w:tabs>
          <w:tab w:val="left" w:pos="1080"/>
        </w:tabs>
        <w:spacing w:line="276" w:lineRule="auto"/>
        <w:ind w:right="1045"/>
        <w:jc w:val="left"/>
        <w:rPr>
          <w:sz w:val="24"/>
        </w:rPr>
      </w:pPr>
      <w:r>
        <w:rPr>
          <w:sz w:val="24"/>
        </w:rPr>
        <w:t>To</w:t>
      </w:r>
      <w:r>
        <w:rPr>
          <w:spacing w:val="-4"/>
          <w:sz w:val="24"/>
        </w:rPr>
        <w:t xml:space="preserve"> </w:t>
      </w:r>
      <w:r>
        <w:rPr>
          <w:sz w:val="24"/>
        </w:rPr>
        <w:t>examine</w:t>
      </w:r>
      <w:r>
        <w:rPr>
          <w:spacing w:val="-5"/>
          <w:sz w:val="24"/>
        </w:rPr>
        <w:t xml:space="preserve"> </w:t>
      </w:r>
      <w:r>
        <w:rPr>
          <w:sz w:val="24"/>
        </w:rPr>
        <w:t>the</w:t>
      </w:r>
      <w:r>
        <w:rPr>
          <w:spacing w:val="-4"/>
          <w:sz w:val="24"/>
        </w:rPr>
        <w:t xml:space="preserve"> </w:t>
      </w:r>
      <w:r>
        <w:rPr>
          <w:sz w:val="24"/>
        </w:rPr>
        <w:t>relationship</w:t>
      </w:r>
      <w:r>
        <w:rPr>
          <w:spacing w:val="-4"/>
          <w:sz w:val="24"/>
        </w:rPr>
        <w:t xml:space="preserve"> </w:t>
      </w:r>
      <w:r>
        <w:rPr>
          <w:sz w:val="24"/>
        </w:rPr>
        <w:t>between</w:t>
      </w:r>
      <w:r>
        <w:rPr>
          <w:spacing w:val="-4"/>
          <w:sz w:val="24"/>
        </w:rPr>
        <w:t xml:space="preserve"> </w:t>
      </w:r>
      <w:r>
        <w:rPr>
          <w:sz w:val="24"/>
        </w:rPr>
        <w:t>e-banking</w:t>
      </w:r>
      <w:r>
        <w:rPr>
          <w:spacing w:val="-4"/>
          <w:sz w:val="24"/>
        </w:rPr>
        <w:t xml:space="preserve"> </w:t>
      </w:r>
      <w:r>
        <w:rPr>
          <w:sz w:val="24"/>
        </w:rPr>
        <w:t>service</w:t>
      </w:r>
      <w:r>
        <w:rPr>
          <w:spacing w:val="-5"/>
          <w:sz w:val="24"/>
        </w:rPr>
        <w:t xml:space="preserve"> </w:t>
      </w:r>
      <w:r>
        <w:rPr>
          <w:sz w:val="24"/>
        </w:rPr>
        <w:t>quality</w:t>
      </w:r>
      <w:r>
        <w:rPr>
          <w:spacing w:val="-4"/>
          <w:sz w:val="24"/>
        </w:rPr>
        <w:t xml:space="preserve"> </w:t>
      </w:r>
      <w:r>
        <w:rPr>
          <w:sz w:val="24"/>
        </w:rPr>
        <w:t>dimensions</w:t>
      </w:r>
      <w:r>
        <w:rPr>
          <w:spacing w:val="-5"/>
          <w:sz w:val="24"/>
        </w:rPr>
        <w:t xml:space="preserve"> </w:t>
      </w:r>
      <w:r>
        <w:rPr>
          <w:sz w:val="24"/>
        </w:rPr>
        <w:t>and</w:t>
      </w:r>
      <w:r>
        <w:rPr>
          <w:spacing w:val="-4"/>
          <w:sz w:val="24"/>
        </w:rPr>
        <w:t xml:space="preserve"> </w:t>
      </w:r>
      <w:r>
        <w:rPr>
          <w:sz w:val="24"/>
        </w:rPr>
        <w:t>overall customer satisfaction.</w:t>
      </w:r>
    </w:p>
    <w:p w:rsidR="00E632C8" w:rsidRDefault="00D21170">
      <w:pPr>
        <w:pStyle w:val="BodyText"/>
        <w:spacing w:line="276" w:lineRule="auto"/>
        <w:ind w:right="715"/>
      </w:pPr>
      <w:r>
        <w:t>The scope of the study is confined to individual retail customers who actively use at least one e-banking channel of SBI (internet banking, mobile/YONO banking, or SMS/missed-c</w:t>
      </w:r>
      <w:r>
        <w:t>all banking) and are attached to a branch located within Muzaffarpur district. Corporate banking customers and non-SBI account holders are excluded from the sample.</w:t>
      </w:r>
    </w:p>
    <w:p w:rsidR="00E632C8" w:rsidRDefault="00D21170">
      <w:pPr>
        <w:pStyle w:val="Heading1"/>
        <w:numPr>
          <w:ilvl w:val="0"/>
          <w:numId w:val="2"/>
        </w:numPr>
        <w:tabs>
          <w:tab w:val="left" w:pos="600"/>
        </w:tabs>
        <w:jc w:val="both"/>
      </w:pPr>
      <w:r>
        <w:t>Literature</w:t>
      </w:r>
      <w:r>
        <w:rPr>
          <w:spacing w:val="-3"/>
        </w:rPr>
        <w:t xml:space="preserve"> </w:t>
      </w:r>
      <w:r>
        <w:rPr>
          <w:spacing w:val="-2"/>
        </w:rPr>
        <w:t>Review</w:t>
      </w:r>
    </w:p>
    <w:p w:rsidR="00E632C8" w:rsidRDefault="00D21170">
      <w:pPr>
        <w:pStyle w:val="ListParagraph"/>
        <w:numPr>
          <w:ilvl w:val="1"/>
          <w:numId w:val="2"/>
        </w:numPr>
        <w:tabs>
          <w:tab w:val="left" w:pos="720"/>
        </w:tabs>
        <w:spacing w:before="37"/>
        <w:jc w:val="both"/>
        <w:rPr>
          <w:b/>
          <w:sz w:val="24"/>
        </w:rPr>
      </w:pPr>
      <w:r>
        <w:rPr>
          <w:b/>
          <w:sz w:val="24"/>
        </w:rPr>
        <w:t>Conceptual</w:t>
      </w:r>
      <w:r>
        <w:rPr>
          <w:b/>
          <w:spacing w:val="-3"/>
          <w:sz w:val="24"/>
        </w:rPr>
        <w:t xml:space="preserve"> </w:t>
      </w:r>
      <w:r>
        <w:rPr>
          <w:b/>
          <w:sz w:val="24"/>
        </w:rPr>
        <w:t>Framework</w:t>
      </w:r>
      <w:r>
        <w:rPr>
          <w:b/>
          <w:spacing w:val="-2"/>
          <w:sz w:val="24"/>
        </w:rPr>
        <w:t xml:space="preserve"> </w:t>
      </w:r>
      <w:r>
        <w:rPr>
          <w:b/>
          <w:sz w:val="24"/>
        </w:rPr>
        <w:t>of</w:t>
      </w:r>
      <w:r>
        <w:rPr>
          <w:b/>
          <w:spacing w:val="-2"/>
          <w:sz w:val="24"/>
        </w:rPr>
        <w:t xml:space="preserve"> </w:t>
      </w:r>
      <w:r>
        <w:rPr>
          <w:b/>
          <w:sz w:val="24"/>
        </w:rPr>
        <w:t>Service</w:t>
      </w:r>
      <w:r>
        <w:rPr>
          <w:b/>
          <w:spacing w:val="-3"/>
          <w:sz w:val="24"/>
        </w:rPr>
        <w:t xml:space="preserve"> </w:t>
      </w:r>
      <w:r>
        <w:rPr>
          <w:b/>
          <w:spacing w:val="-2"/>
          <w:sz w:val="24"/>
        </w:rPr>
        <w:t>Quality</w:t>
      </w:r>
    </w:p>
    <w:p w:rsidR="00E632C8" w:rsidRDefault="00D21170">
      <w:pPr>
        <w:pStyle w:val="BodyText"/>
        <w:spacing w:before="41" w:line="276" w:lineRule="auto"/>
      </w:pPr>
      <w:r>
        <w:t xml:space="preserve">Service quality has long been </w:t>
      </w:r>
      <w:proofErr w:type="spellStart"/>
      <w:r>
        <w:t>con</w:t>
      </w:r>
      <w:r>
        <w:t>ceptualised</w:t>
      </w:r>
      <w:proofErr w:type="spellEnd"/>
      <w:r>
        <w:t xml:space="preserve"> as the gap between customers' expectations of a service and their perceptions of the service actually delivered. This expectation-perception framework, most closely associated with the SERVQUAL instrument, treats service quality as a multidimen</w:t>
      </w:r>
      <w:r>
        <w:t>sional construct rather than a single, unidimensional attribute. In the banking context, service quality has traditionally been assessed through dimensions such as reliability, responsiveness, assurance, empathy, and tangibles, each capturing a distinct fa</w:t>
      </w:r>
      <w:r>
        <w:t>cet of the customer's interaction with the bank. As banking services have migrated from physical branches to digital channels, researchers have extended this conceptual apparatus to the online environment, arguing that constructs such as trust, security, a</w:t>
      </w:r>
      <w:r>
        <w:t>nd system availability now play a role</w:t>
      </w:r>
      <w:r>
        <w:rPr>
          <w:spacing w:val="-3"/>
        </w:rPr>
        <w:t xml:space="preserve"> </w:t>
      </w:r>
      <w:r>
        <w:t>analogous</w:t>
      </w:r>
      <w:r>
        <w:rPr>
          <w:spacing w:val="-2"/>
        </w:rPr>
        <w:t xml:space="preserve"> </w:t>
      </w:r>
      <w:r>
        <w:t>to</w:t>
      </w:r>
      <w:r>
        <w:rPr>
          <w:spacing w:val="-2"/>
        </w:rPr>
        <w:t xml:space="preserve"> </w:t>
      </w:r>
      <w:r>
        <w:t>the</w:t>
      </w:r>
      <w:r>
        <w:rPr>
          <w:spacing w:val="-3"/>
        </w:rPr>
        <w:t xml:space="preserve"> </w:t>
      </w:r>
      <w:r>
        <w:t>tangibles</w:t>
      </w:r>
      <w:r>
        <w:rPr>
          <w:spacing w:val="-2"/>
        </w:rPr>
        <w:t xml:space="preserve"> </w:t>
      </w:r>
      <w:r>
        <w:t>and</w:t>
      </w:r>
      <w:r>
        <w:rPr>
          <w:spacing w:val="-2"/>
        </w:rPr>
        <w:t xml:space="preserve"> </w:t>
      </w:r>
      <w:r>
        <w:t>assurance</w:t>
      </w:r>
      <w:r>
        <w:rPr>
          <w:spacing w:val="-3"/>
        </w:rPr>
        <w:t xml:space="preserve"> </w:t>
      </w:r>
      <w:r>
        <w:t>dimensions</w:t>
      </w:r>
      <w:r>
        <w:rPr>
          <w:spacing w:val="-2"/>
        </w:rPr>
        <w:t xml:space="preserve"> </w:t>
      </w:r>
      <w:r>
        <w:t>of</w:t>
      </w:r>
      <w:r>
        <w:rPr>
          <w:spacing w:val="-3"/>
        </w:rPr>
        <w:t xml:space="preserve"> </w:t>
      </w:r>
      <w:r>
        <w:t>traditional</w:t>
      </w:r>
      <w:r>
        <w:rPr>
          <w:spacing w:val="-2"/>
        </w:rPr>
        <w:t xml:space="preserve"> </w:t>
      </w:r>
      <w:r>
        <w:t>branch</w:t>
      </w:r>
      <w:r>
        <w:rPr>
          <w:spacing w:val="-2"/>
        </w:rPr>
        <w:t xml:space="preserve"> </w:t>
      </w:r>
      <w:r>
        <w:t>banking.</w:t>
      </w:r>
      <w:r>
        <w:rPr>
          <w:spacing w:val="-2"/>
        </w:rPr>
        <w:t xml:space="preserve"> </w:t>
      </w:r>
      <w:r>
        <w:t>Kaur</w:t>
      </w:r>
      <w:r>
        <w:rPr>
          <w:spacing w:val="-3"/>
        </w:rPr>
        <w:t xml:space="preserve"> </w:t>
      </w:r>
      <w:r>
        <w:t>and Kiran (2015) demonstrated that e-banking service quality perceptions and resulting customer loyalty differ meaningfully acros</w:t>
      </w:r>
      <w:r>
        <w:t>s public, private, and foreign bank customers in India, underscoring that service quality cannot be treated as a bank-type-invariant construct.</w:t>
      </w:r>
    </w:p>
    <w:p w:rsidR="00E632C8" w:rsidRDefault="00D21170">
      <w:pPr>
        <w:pStyle w:val="Heading1"/>
        <w:numPr>
          <w:ilvl w:val="1"/>
          <w:numId w:val="2"/>
        </w:numPr>
        <w:tabs>
          <w:tab w:val="left" w:pos="720"/>
        </w:tabs>
      </w:pPr>
      <w:r>
        <w:t>E-Banking</w:t>
      </w:r>
      <w:r>
        <w:rPr>
          <w:spacing w:val="-3"/>
        </w:rPr>
        <w:t xml:space="preserve"> </w:t>
      </w:r>
      <w:r>
        <w:t>Service</w:t>
      </w:r>
      <w:r>
        <w:rPr>
          <w:spacing w:val="-4"/>
        </w:rPr>
        <w:t xml:space="preserve"> </w:t>
      </w:r>
      <w:r>
        <w:t>Quality</w:t>
      </w:r>
      <w:r>
        <w:rPr>
          <w:spacing w:val="-3"/>
        </w:rPr>
        <w:t xml:space="preserve"> </w:t>
      </w:r>
      <w:r>
        <w:t>Models</w:t>
      </w:r>
      <w:r>
        <w:rPr>
          <w:spacing w:val="-3"/>
        </w:rPr>
        <w:t xml:space="preserve"> </w:t>
      </w:r>
      <w:r>
        <w:t>(SERVQUAL</w:t>
      </w:r>
      <w:r>
        <w:rPr>
          <w:spacing w:val="-3"/>
        </w:rPr>
        <w:t xml:space="preserve"> </w:t>
      </w:r>
      <w:r>
        <w:t>and</w:t>
      </w:r>
      <w:r>
        <w:rPr>
          <w:spacing w:val="-2"/>
        </w:rPr>
        <w:t xml:space="preserve"> </w:t>
      </w:r>
      <w:r>
        <w:t>E-</w:t>
      </w:r>
      <w:r>
        <w:rPr>
          <w:spacing w:val="-2"/>
        </w:rPr>
        <w:t>SERVQUAL)</w:t>
      </w:r>
    </w:p>
    <w:p w:rsidR="00E632C8" w:rsidRDefault="00D21170">
      <w:pPr>
        <w:pStyle w:val="BodyText"/>
        <w:spacing w:before="42" w:line="276" w:lineRule="auto"/>
      </w:pPr>
      <w:r>
        <w:t>Building on the original SERVQUAL framework, several scholars have proposed modified instruments better suited to electronic service contexts. Raza et al. (2020) applied a modified e-SERVQUAL model to internet banking and found that dimensions such as effi</w:t>
      </w:r>
      <w:r>
        <w:t xml:space="preserve">ciency, system availability, and privacy significantly predicted e-customer satisfaction and loyalty. Similarly, </w:t>
      </w:r>
      <w:proofErr w:type="spellStart"/>
      <w:r>
        <w:t>Balbin</w:t>
      </w:r>
      <w:proofErr w:type="spellEnd"/>
      <w:r>
        <w:t>-Romero et al. (2022), studying a Peruvian bank, confirmed that e-SERVQUAL dimensions were strong predictors of customer satisfaction, re</w:t>
      </w:r>
      <w:r>
        <w:t>inforcing the cross-national applicability of the framework. In the Indian context, Kant, Jaiswal, and Mishra (2017) used structural</w:t>
      </w:r>
      <w:r>
        <w:rPr>
          <w:spacing w:val="43"/>
        </w:rPr>
        <w:t xml:space="preserve"> </w:t>
      </w:r>
      <w:r>
        <w:t>equation</w:t>
      </w:r>
      <w:r>
        <w:rPr>
          <w:spacing w:val="45"/>
        </w:rPr>
        <w:t xml:space="preserve"> </w:t>
      </w:r>
      <w:r>
        <w:t>modelling</w:t>
      </w:r>
      <w:r>
        <w:rPr>
          <w:spacing w:val="45"/>
        </w:rPr>
        <w:t xml:space="preserve"> </w:t>
      </w:r>
      <w:r>
        <w:t>to</w:t>
      </w:r>
      <w:r>
        <w:rPr>
          <w:spacing w:val="46"/>
        </w:rPr>
        <w:t xml:space="preserve"> </w:t>
      </w:r>
      <w:r>
        <w:t>show</w:t>
      </w:r>
      <w:r>
        <w:rPr>
          <w:spacing w:val="43"/>
        </w:rPr>
        <w:t xml:space="preserve"> </w:t>
      </w:r>
      <w:r>
        <w:t>that</w:t>
      </w:r>
      <w:r>
        <w:rPr>
          <w:spacing w:val="45"/>
        </w:rPr>
        <w:t xml:space="preserve"> </w:t>
      </w:r>
      <w:r>
        <w:t>service</w:t>
      </w:r>
      <w:r>
        <w:rPr>
          <w:spacing w:val="44"/>
        </w:rPr>
        <w:t xml:space="preserve"> </w:t>
      </w:r>
      <w:r>
        <w:t>quality</w:t>
      </w:r>
      <w:r>
        <w:rPr>
          <w:spacing w:val="46"/>
        </w:rPr>
        <w:t xml:space="preserve"> </w:t>
      </w:r>
      <w:r>
        <w:t>dimensions</w:t>
      </w:r>
      <w:r>
        <w:rPr>
          <w:spacing w:val="43"/>
        </w:rPr>
        <w:t xml:space="preserve"> </w:t>
      </w:r>
      <w:r>
        <w:t>significantly</w:t>
      </w:r>
      <w:r>
        <w:rPr>
          <w:spacing w:val="45"/>
        </w:rPr>
        <w:t xml:space="preserve"> </w:t>
      </w:r>
      <w:r>
        <w:rPr>
          <w:spacing w:val="-2"/>
        </w:rPr>
        <w:t>influence</w:t>
      </w:r>
    </w:p>
    <w:p w:rsidR="00E632C8" w:rsidRDefault="00E632C8">
      <w:pPr>
        <w:pStyle w:val="BodyText"/>
        <w:spacing w:line="276" w:lineRule="auto"/>
        <w:sectPr w:rsidR="00E632C8">
          <w:pgSz w:w="12240" w:h="15840"/>
          <w:pgMar w:top="2600" w:right="720" w:bottom="1280" w:left="1080" w:header="718" w:footer="1094" w:gutter="0"/>
          <w:cols w:space="720"/>
        </w:sectPr>
      </w:pPr>
    </w:p>
    <w:p w:rsidR="00E632C8" w:rsidRDefault="00D21170">
      <w:pPr>
        <w:pStyle w:val="BodyText"/>
        <w:spacing w:before="272" w:line="276" w:lineRule="auto"/>
      </w:pPr>
      <w:r>
        <w:t>both customer satisfaction</w:t>
      </w:r>
      <w:r>
        <w:t xml:space="preserve"> and corporate image in public sector banks, suggesting that service quality perceptions have consequences that extend beyond immediate satisfaction to a bank's broader reputation. </w:t>
      </w:r>
      <w:proofErr w:type="spellStart"/>
      <w:r>
        <w:t>Nihayah</w:t>
      </w:r>
      <w:proofErr w:type="spellEnd"/>
      <w:r>
        <w:t xml:space="preserve">, Marwan, </w:t>
      </w:r>
      <w:proofErr w:type="spellStart"/>
      <w:r>
        <w:t>Nawras</w:t>
      </w:r>
      <w:proofErr w:type="spellEnd"/>
      <w:r>
        <w:t>, Ahmad, and Ahmad (2021) similarly validated a mult</w:t>
      </w:r>
      <w:r>
        <w:t>i-dimensional</w:t>
      </w:r>
      <w:r>
        <w:rPr>
          <w:spacing w:val="-2"/>
        </w:rPr>
        <w:t xml:space="preserve"> </w:t>
      </w:r>
      <w:r>
        <w:t>e-banking</w:t>
      </w:r>
      <w:r>
        <w:rPr>
          <w:spacing w:val="-2"/>
        </w:rPr>
        <w:t xml:space="preserve"> </w:t>
      </w:r>
      <w:r>
        <w:t>service</w:t>
      </w:r>
      <w:r>
        <w:rPr>
          <w:spacing w:val="-1"/>
        </w:rPr>
        <w:t xml:space="preserve"> </w:t>
      </w:r>
      <w:r>
        <w:t>quality</w:t>
      </w:r>
      <w:r>
        <w:rPr>
          <w:spacing w:val="-2"/>
        </w:rPr>
        <w:t xml:space="preserve"> </w:t>
      </w:r>
      <w:r>
        <w:t>measurement</w:t>
      </w:r>
      <w:r>
        <w:rPr>
          <w:spacing w:val="-2"/>
        </w:rPr>
        <w:t xml:space="preserve"> </w:t>
      </w:r>
      <w:r>
        <w:t>approach among customers</w:t>
      </w:r>
      <w:r>
        <w:rPr>
          <w:spacing w:val="-3"/>
        </w:rPr>
        <w:t xml:space="preserve"> </w:t>
      </w:r>
      <w:r>
        <w:t>in</w:t>
      </w:r>
      <w:r>
        <w:rPr>
          <w:spacing w:val="-2"/>
        </w:rPr>
        <w:t xml:space="preserve"> </w:t>
      </w:r>
      <w:r>
        <w:t xml:space="preserve">Riyadh, Saudi Arabia, while </w:t>
      </w:r>
      <w:proofErr w:type="spellStart"/>
      <w:r>
        <w:t>Rajaobelina</w:t>
      </w:r>
      <w:proofErr w:type="spellEnd"/>
      <w:r>
        <w:t xml:space="preserve">, Brun, Prom </w:t>
      </w:r>
      <w:proofErr w:type="spellStart"/>
      <w:r>
        <w:t>Tep</w:t>
      </w:r>
      <w:proofErr w:type="spellEnd"/>
      <w:r>
        <w:t>, and Arcand (2018) extended the model to mobile banking specifically, showing that customer experience with the mobile c</w:t>
      </w:r>
      <w:r>
        <w:t>hannel shapes trust and commitment in ways that parallel traditional SERVQUAL dimensions. These studies collectively support the use of a SERVQUAL-derived instrument, adapted for the e-banking context, as an appropriate methodological foundation for the pr</w:t>
      </w:r>
      <w:r>
        <w:t>esent study.</w:t>
      </w:r>
    </w:p>
    <w:p w:rsidR="00E632C8" w:rsidRDefault="00D21170">
      <w:pPr>
        <w:pStyle w:val="Heading1"/>
        <w:numPr>
          <w:ilvl w:val="1"/>
          <w:numId w:val="2"/>
        </w:numPr>
        <w:tabs>
          <w:tab w:val="left" w:pos="720"/>
        </w:tabs>
        <w:spacing w:before="2"/>
        <w:jc w:val="both"/>
      </w:pPr>
      <w:r>
        <w:t>Customer</w:t>
      </w:r>
      <w:r>
        <w:rPr>
          <w:spacing w:val="-6"/>
        </w:rPr>
        <w:t xml:space="preserve"> </w:t>
      </w:r>
      <w:r>
        <w:t>Satisfaction</w:t>
      </w:r>
      <w:r>
        <w:rPr>
          <w:spacing w:val="-3"/>
        </w:rPr>
        <w:t xml:space="preserve"> </w:t>
      </w:r>
      <w:r>
        <w:t>in</w:t>
      </w:r>
      <w:r>
        <w:rPr>
          <w:spacing w:val="-2"/>
        </w:rPr>
        <w:t xml:space="preserve"> </w:t>
      </w:r>
      <w:r>
        <w:t>E-Banking:</w:t>
      </w:r>
      <w:r>
        <w:rPr>
          <w:spacing w:val="-3"/>
        </w:rPr>
        <w:t xml:space="preserve"> </w:t>
      </w:r>
      <w:r>
        <w:t>Empirical</w:t>
      </w:r>
      <w:r>
        <w:rPr>
          <w:spacing w:val="-2"/>
        </w:rPr>
        <w:t xml:space="preserve"> Evidence</w:t>
      </w:r>
    </w:p>
    <w:p w:rsidR="00E632C8" w:rsidRDefault="00D21170">
      <w:pPr>
        <w:pStyle w:val="BodyText"/>
        <w:spacing w:before="41" w:line="276" w:lineRule="auto"/>
      </w:pPr>
      <w:r>
        <w:t xml:space="preserve">A substantial body of empirical work links specific e-banking service quality dimensions to customer satisfaction outcomes. Roy, Balaji, </w:t>
      </w:r>
      <w:proofErr w:type="spellStart"/>
      <w:r>
        <w:t>Kesharwani</w:t>
      </w:r>
      <w:proofErr w:type="spellEnd"/>
      <w:r>
        <w:t xml:space="preserve">, and </w:t>
      </w:r>
      <w:proofErr w:type="spellStart"/>
      <w:r>
        <w:t>Sekhon</w:t>
      </w:r>
      <w:proofErr w:type="spellEnd"/>
      <w:r>
        <w:t xml:space="preserve"> (2017) examined internet ban</w:t>
      </w:r>
      <w:r>
        <w:t>king adoption in India through a perceived-risk lens and found that risk perceptions, closely tied to assurance and security dimensions, significantly shape customer attitudes toward continued use. Shankar and Rishi (2020) reported that convenience is a cr</w:t>
      </w:r>
      <w:r>
        <w:t xml:space="preserve">itical determinant of mobile banking adoption intention in the Indian market, echoing the responsiveness and tangibility dimensions </w:t>
      </w:r>
      <w:proofErr w:type="spellStart"/>
      <w:r>
        <w:t>emphasised</w:t>
      </w:r>
      <w:proofErr w:type="spellEnd"/>
      <w:r>
        <w:t xml:space="preserve"> in this study. Outside India, Tetteh (2022) found that reliability and responsiveness were the strongest predicto</w:t>
      </w:r>
      <w:r>
        <w:t xml:space="preserve">rs of e-banking satisfaction among customers in Ghana, while </w:t>
      </w:r>
      <w:proofErr w:type="spellStart"/>
      <w:r>
        <w:t>Sewaka</w:t>
      </w:r>
      <w:proofErr w:type="spellEnd"/>
      <w:r>
        <w:t xml:space="preserve">, </w:t>
      </w:r>
      <w:proofErr w:type="spellStart"/>
      <w:r>
        <w:t>Anggraini</w:t>
      </w:r>
      <w:proofErr w:type="spellEnd"/>
      <w:r>
        <w:t xml:space="preserve">, </w:t>
      </w:r>
      <w:proofErr w:type="spellStart"/>
      <w:r>
        <w:t>Mas'adi</w:t>
      </w:r>
      <w:proofErr w:type="spellEnd"/>
      <w:r>
        <w:t xml:space="preserve">, </w:t>
      </w:r>
      <w:proofErr w:type="spellStart"/>
      <w:r>
        <w:t>Nurhadi</w:t>
      </w:r>
      <w:proofErr w:type="spellEnd"/>
      <w:r>
        <w:t xml:space="preserve">, and </w:t>
      </w:r>
      <w:proofErr w:type="spellStart"/>
      <w:r>
        <w:t>Arianto</w:t>
      </w:r>
      <w:proofErr w:type="spellEnd"/>
      <w:r>
        <w:t xml:space="preserve"> (2021) reported that both service quality and customer satisfaction jointly determine customer loyalty to banking products in Indonesia. </w:t>
      </w:r>
      <w:proofErr w:type="spellStart"/>
      <w:r>
        <w:t>Machogu</w:t>
      </w:r>
      <w:proofErr w:type="spellEnd"/>
      <w:r>
        <w:t xml:space="preserve"> a</w:t>
      </w:r>
      <w:r>
        <w:t xml:space="preserve">nd </w:t>
      </w:r>
      <w:proofErr w:type="spellStart"/>
      <w:r>
        <w:t>Okiko</w:t>
      </w:r>
      <w:proofErr w:type="spellEnd"/>
      <w:r>
        <w:t xml:space="preserve"> (2015), studying Rwandan commercial banks, additionally found that gender moderated the relationship between e-banking complexity and customer satisfaction, a finding that motivates the demographic hypothesis tests conducted in</w:t>
      </w:r>
      <w:r>
        <w:rPr>
          <w:spacing w:val="40"/>
        </w:rPr>
        <w:t xml:space="preserve"> </w:t>
      </w:r>
      <w:r>
        <w:t xml:space="preserve">this study. Closer </w:t>
      </w:r>
      <w:r>
        <w:t xml:space="preserve">to the Indian public-sector context, </w:t>
      </w:r>
      <w:proofErr w:type="spellStart"/>
      <w:r>
        <w:t>Shafeeq</w:t>
      </w:r>
      <w:proofErr w:type="spellEnd"/>
      <w:r>
        <w:t xml:space="preserve"> and Beg (2021) documented that the COVID-19 pandemic accelerated digital financial service adoption in India while simultaneously exposing gaps in digital financial inclusion, particularly among semi-urban and r</w:t>
      </w:r>
      <w:r>
        <w:t xml:space="preserve">ural populations similar to those served by SBI branches in Muzaffarpur. </w:t>
      </w:r>
      <w:proofErr w:type="spellStart"/>
      <w:r>
        <w:t>Hemalatha</w:t>
      </w:r>
      <w:proofErr w:type="spellEnd"/>
      <w:r>
        <w:t xml:space="preserve"> and </w:t>
      </w:r>
      <w:proofErr w:type="spellStart"/>
      <w:r>
        <w:t>Devaraja</w:t>
      </w:r>
      <w:proofErr w:type="spellEnd"/>
      <w:r>
        <w:t xml:space="preserve"> (2023), studying an urban co-operative bank, similarly found that tangibles, assurance, and responsiveness were positively associated with digital banking satis</w:t>
      </w:r>
      <w:r>
        <w:t xml:space="preserve">faction, while Kaur and Sharma (2015), working outside the banking sector in tourism services, found that electronic service quality was a significant driver of customer loyalty more broadly, lending cross-sector support to the constructs examined in this </w:t>
      </w:r>
      <w:r>
        <w:t>study.</w:t>
      </w:r>
    </w:p>
    <w:p w:rsidR="00E632C8" w:rsidRDefault="00D21170">
      <w:pPr>
        <w:pStyle w:val="Heading1"/>
        <w:numPr>
          <w:ilvl w:val="1"/>
          <w:numId w:val="2"/>
        </w:numPr>
        <w:tabs>
          <w:tab w:val="left" w:pos="720"/>
        </w:tabs>
        <w:spacing w:before="1"/>
        <w:jc w:val="both"/>
      </w:pPr>
      <w:r>
        <w:t>Research</w:t>
      </w:r>
      <w:r>
        <w:rPr>
          <w:spacing w:val="-3"/>
        </w:rPr>
        <w:t xml:space="preserve"> </w:t>
      </w:r>
      <w:r>
        <w:rPr>
          <w:spacing w:val="-5"/>
        </w:rPr>
        <w:t>Gap</w:t>
      </w:r>
    </w:p>
    <w:p w:rsidR="00E632C8" w:rsidRDefault="00D21170">
      <w:pPr>
        <w:pStyle w:val="BodyText"/>
        <w:spacing w:before="41" w:line="276" w:lineRule="auto"/>
        <w:ind w:right="713"/>
      </w:pPr>
      <w:r>
        <w:t>While the reviewed literature confirms a robust and largely consistent relationship between SERVQUAL-based service quality dimensions and customer satisfaction across diverse banking markets,</w:t>
      </w:r>
      <w:r>
        <w:rPr>
          <w:spacing w:val="58"/>
        </w:rPr>
        <w:t xml:space="preserve"> </w:t>
      </w:r>
      <w:r>
        <w:t>most</w:t>
      </w:r>
      <w:r>
        <w:rPr>
          <w:spacing w:val="62"/>
        </w:rPr>
        <w:t xml:space="preserve"> </w:t>
      </w:r>
      <w:r>
        <w:t>Indian</w:t>
      </w:r>
      <w:r>
        <w:rPr>
          <w:spacing w:val="60"/>
        </w:rPr>
        <w:t xml:space="preserve"> </w:t>
      </w:r>
      <w:r>
        <w:t>studies</w:t>
      </w:r>
      <w:r>
        <w:rPr>
          <w:spacing w:val="60"/>
        </w:rPr>
        <w:t xml:space="preserve"> </w:t>
      </w:r>
      <w:r>
        <w:t>have</w:t>
      </w:r>
      <w:r>
        <w:rPr>
          <w:spacing w:val="60"/>
        </w:rPr>
        <w:t xml:space="preserve"> </w:t>
      </w:r>
      <w:r>
        <w:t>concentrated</w:t>
      </w:r>
      <w:r>
        <w:rPr>
          <w:spacing w:val="62"/>
        </w:rPr>
        <w:t xml:space="preserve"> </w:t>
      </w:r>
      <w:r>
        <w:t>on</w:t>
      </w:r>
      <w:r>
        <w:rPr>
          <w:spacing w:val="61"/>
        </w:rPr>
        <w:t xml:space="preserve"> </w:t>
      </w:r>
      <w:r>
        <w:t>met</w:t>
      </w:r>
      <w:r>
        <w:t>ropolitan</w:t>
      </w:r>
      <w:r>
        <w:rPr>
          <w:spacing w:val="59"/>
        </w:rPr>
        <w:t xml:space="preserve"> </w:t>
      </w:r>
      <w:r>
        <w:t>cities</w:t>
      </w:r>
      <w:r>
        <w:rPr>
          <w:spacing w:val="58"/>
        </w:rPr>
        <w:t xml:space="preserve"> </w:t>
      </w:r>
      <w:r>
        <w:t>such</w:t>
      </w:r>
      <w:r>
        <w:rPr>
          <w:spacing w:val="61"/>
        </w:rPr>
        <w:t xml:space="preserve"> </w:t>
      </w:r>
      <w:r>
        <w:t>as</w:t>
      </w:r>
      <w:r>
        <w:rPr>
          <w:spacing w:val="61"/>
        </w:rPr>
        <w:t xml:space="preserve"> </w:t>
      </w:r>
      <w:r>
        <w:t>Delhi-</w:t>
      </w:r>
      <w:r>
        <w:rPr>
          <w:spacing w:val="-4"/>
        </w:rPr>
        <w:t>NCR,</w:t>
      </w:r>
    </w:p>
    <w:p w:rsidR="00E632C8" w:rsidRDefault="00E632C8">
      <w:pPr>
        <w:pStyle w:val="BodyText"/>
        <w:spacing w:line="276" w:lineRule="auto"/>
        <w:sectPr w:rsidR="00E632C8">
          <w:pgSz w:w="12240" w:h="15840"/>
          <w:pgMar w:top="2600" w:right="720" w:bottom="1280" w:left="1080" w:header="718" w:footer="1094" w:gutter="0"/>
          <w:cols w:space="720"/>
        </w:sectPr>
      </w:pPr>
    </w:p>
    <w:p w:rsidR="00E632C8" w:rsidRDefault="00D21170">
      <w:pPr>
        <w:pStyle w:val="BodyText"/>
        <w:spacing w:before="272" w:line="276" w:lineRule="auto"/>
      </w:pPr>
      <w:r>
        <w:t>Chennai,</w:t>
      </w:r>
      <w:r>
        <w:rPr>
          <w:spacing w:val="-3"/>
        </w:rPr>
        <w:t xml:space="preserve"> </w:t>
      </w:r>
      <w:r>
        <w:t>Bengaluru,</w:t>
      </w:r>
      <w:r>
        <w:rPr>
          <w:spacing w:val="-3"/>
        </w:rPr>
        <w:t xml:space="preserve"> </w:t>
      </w:r>
      <w:r>
        <w:t>and</w:t>
      </w:r>
      <w:r>
        <w:rPr>
          <w:spacing w:val="-1"/>
        </w:rPr>
        <w:t xml:space="preserve"> </w:t>
      </w:r>
      <w:r>
        <w:t>Mumbai,</w:t>
      </w:r>
      <w:r>
        <w:rPr>
          <w:spacing w:val="-3"/>
        </w:rPr>
        <w:t xml:space="preserve"> </w:t>
      </w:r>
      <w:r>
        <w:t>or</w:t>
      </w:r>
      <w:r>
        <w:rPr>
          <w:spacing w:val="-3"/>
        </w:rPr>
        <w:t xml:space="preserve"> </w:t>
      </w:r>
      <w:r>
        <w:t>have</w:t>
      </w:r>
      <w:r>
        <w:rPr>
          <w:spacing w:val="-4"/>
        </w:rPr>
        <w:t xml:space="preserve"> </w:t>
      </w:r>
      <w:r>
        <w:t>used</w:t>
      </w:r>
      <w:r>
        <w:rPr>
          <w:spacing w:val="-1"/>
        </w:rPr>
        <w:t xml:space="preserve"> </w:t>
      </w:r>
      <w:r>
        <w:t>broad,</w:t>
      </w:r>
      <w:r>
        <w:rPr>
          <w:spacing w:val="-3"/>
        </w:rPr>
        <w:t xml:space="preserve"> </w:t>
      </w:r>
      <w:r>
        <w:t>multi-city,</w:t>
      </w:r>
      <w:r>
        <w:rPr>
          <w:spacing w:val="-3"/>
        </w:rPr>
        <w:t xml:space="preserve"> </w:t>
      </w:r>
      <w:r>
        <w:t>multi-bank</w:t>
      </w:r>
      <w:r>
        <w:rPr>
          <w:spacing w:val="-3"/>
        </w:rPr>
        <w:t xml:space="preserve"> </w:t>
      </w:r>
      <w:r>
        <w:t>samples</w:t>
      </w:r>
      <w:r>
        <w:rPr>
          <w:spacing w:val="-4"/>
        </w:rPr>
        <w:t xml:space="preserve"> </w:t>
      </w:r>
      <w:r>
        <w:t>that</w:t>
      </w:r>
      <w:r>
        <w:rPr>
          <w:spacing w:val="-3"/>
        </w:rPr>
        <w:t xml:space="preserve"> </w:t>
      </w:r>
      <w:r>
        <w:t>do</w:t>
      </w:r>
      <w:r>
        <w:rPr>
          <w:spacing w:val="-3"/>
        </w:rPr>
        <w:t xml:space="preserve"> </w:t>
      </w:r>
      <w:r>
        <w:t>not isolate the experience of a single bank's customers in a specific semi-urban district. Very few studies have examined SBI's e-banking service</w:t>
      </w:r>
      <w:r>
        <w:rPr>
          <w:spacing w:val="-1"/>
        </w:rPr>
        <w:t xml:space="preserve"> </w:t>
      </w:r>
      <w:r>
        <w:t>quality specifically within Bihar, and none, to the researcher's knowledge, has focused exclusively on Muzaffa</w:t>
      </w:r>
      <w:r>
        <w:t>rpur district using a 150-respondent SPSS-based hypothesis-testing design. This study addresses that gap by providing branch-level, district-specific empirical evidence on e-banking service quality and customer satisfaction, thereby complementing the large</w:t>
      </w:r>
      <w:r>
        <w:t>ly metro-centric existing literature.</w:t>
      </w:r>
    </w:p>
    <w:p w:rsidR="00E632C8" w:rsidRDefault="00D21170">
      <w:pPr>
        <w:pStyle w:val="Heading1"/>
        <w:numPr>
          <w:ilvl w:val="0"/>
          <w:numId w:val="2"/>
        </w:numPr>
        <w:tabs>
          <w:tab w:val="left" w:pos="600"/>
        </w:tabs>
        <w:spacing w:before="1"/>
        <w:jc w:val="both"/>
      </w:pPr>
      <w:r>
        <w:t>Research</w:t>
      </w:r>
      <w:r>
        <w:rPr>
          <w:spacing w:val="-3"/>
        </w:rPr>
        <w:t xml:space="preserve"> </w:t>
      </w:r>
      <w:r>
        <w:rPr>
          <w:spacing w:val="-2"/>
        </w:rPr>
        <w:t>Methodology</w:t>
      </w:r>
    </w:p>
    <w:p w:rsidR="00E632C8" w:rsidRDefault="00D21170">
      <w:pPr>
        <w:pStyle w:val="ListParagraph"/>
        <w:numPr>
          <w:ilvl w:val="1"/>
          <w:numId w:val="2"/>
        </w:numPr>
        <w:tabs>
          <w:tab w:val="left" w:pos="720"/>
        </w:tabs>
        <w:spacing w:before="41"/>
        <w:jc w:val="both"/>
        <w:rPr>
          <w:b/>
          <w:sz w:val="24"/>
        </w:rPr>
      </w:pPr>
      <w:r>
        <w:rPr>
          <w:b/>
          <w:sz w:val="24"/>
        </w:rPr>
        <w:t>Research</w:t>
      </w:r>
      <w:r>
        <w:rPr>
          <w:b/>
          <w:spacing w:val="-3"/>
          <w:sz w:val="24"/>
        </w:rPr>
        <w:t xml:space="preserve"> </w:t>
      </w:r>
      <w:r>
        <w:rPr>
          <w:b/>
          <w:spacing w:val="-2"/>
          <w:sz w:val="24"/>
        </w:rPr>
        <w:t>Design</w:t>
      </w:r>
    </w:p>
    <w:p w:rsidR="00E632C8" w:rsidRDefault="00D21170">
      <w:pPr>
        <w:pStyle w:val="BodyText"/>
        <w:spacing w:before="43" w:line="276" w:lineRule="auto"/>
        <w:ind w:right="718"/>
      </w:pPr>
      <w:r>
        <w:t>The study adopts a descriptive and analytical research design based on a cross-sectional survey. A</w:t>
      </w:r>
      <w:r>
        <w:rPr>
          <w:spacing w:val="-1"/>
        </w:rPr>
        <w:t xml:space="preserve"> </w:t>
      </w:r>
      <w:r>
        <w:t>quantitative</w:t>
      </w:r>
      <w:r>
        <w:rPr>
          <w:spacing w:val="-1"/>
        </w:rPr>
        <w:t xml:space="preserve"> </w:t>
      </w:r>
      <w:r>
        <w:t>approach was chosen because the primary</w:t>
      </w:r>
      <w:r>
        <w:rPr>
          <w:spacing w:val="-1"/>
        </w:rPr>
        <w:t xml:space="preserve"> </w:t>
      </w:r>
      <w:r>
        <w:t>objective is to measure the</w:t>
      </w:r>
      <w:r>
        <w:rPr>
          <w:spacing w:val="-1"/>
        </w:rPr>
        <w:t xml:space="preserve"> </w:t>
      </w:r>
      <w:r>
        <w:t>s</w:t>
      </w:r>
      <w:r>
        <w:t xml:space="preserve">trength and statistical significance of relationships between e-banking service quality dimensions and customer satisfaction, which requires numerical, testable data rather than purely qualitative </w:t>
      </w:r>
      <w:r>
        <w:rPr>
          <w:spacing w:val="-2"/>
        </w:rPr>
        <w:t>description.</w:t>
      </w:r>
    </w:p>
    <w:p w:rsidR="00E632C8" w:rsidRDefault="00D21170">
      <w:pPr>
        <w:pStyle w:val="Heading1"/>
        <w:numPr>
          <w:ilvl w:val="1"/>
          <w:numId w:val="2"/>
        </w:numPr>
        <w:tabs>
          <w:tab w:val="left" w:pos="720"/>
        </w:tabs>
        <w:spacing w:line="276" w:lineRule="exact"/>
        <w:jc w:val="both"/>
      </w:pPr>
      <w:r>
        <w:t>Population</w:t>
      </w:r>
      <w:r>
        <w:rPr>
          <w:spacing w:val="-5"/>
        </w:rPr>
        <w:t xml:space="preserve"> </w:t>
      </w:r>
      <w:r>
        <w:t>and</w:t>
      </w:r>
      <w:r>
        <w:rPr>
          <w:spacing w:val="-5"/>
        </w:rPr>
        <w:t xml:space="preserve"> </w:t>
      </w:r>
      <w:r>
        <w:rPr>
          <w:spacing w:val="-2"/>
        </w:rPr>
        <w:t>Sample</w:t>
      </w:r>
    </w:p>
    <w:p w:rsidR="00E632C8" w:rsidRDefault="00D21170">
      <w:pPr>
        <w:pStyle w:val="BodyText"/>
        <w:spacing w:before="41" w:line="276" w:lineRule="auto"/>
      </w:pPr>
      <w:r>
        <w:t>The population for this study comprises individual retail customers of SBI branches located within Muzaffarpur district who actively use at least one e-banking channel. A total sample of 150 respondents was drawn using a combination of stratified and conve</w:t>
      </w:r>
      <w:r>
        <w:t>nience sampling: strata were formed on the basis of branch location (urban, semi-urban, and rural branches within the district) to ensure representation across the district's varied customer base, and respondents within each stratum were approached conveni</w:t>
      </w:r>
      <w:r>
        <w:t>ently at bank premises and through digitally circulated questionnaires. A sample size of 150 was considered adequate for the multivariate statistical procedures employed, including multiple regression with five predictor variables, consistent with commonly</w:t>
      </w:r>
      <w:r>
        <w:t xml:space="preserve"> applied rules of thumb for minimum sample size in regression-based survey research.</w:t>
      </w:r>
    </w:p>
    <w:p w:rsidR="00E632C8" w:rsidRDefault="00D21170">
      <w:pPr>
        <w:pStyle w:val="Heading1"/>
        <w:numPr>
          <w:ilvl w:val="1"/>
          <w:numId w:val="2"/>
        </w:numPr>
        <w:tabs>
          <w:tab w:val="left" w:pos="720"/>
        </w:tabs>
        <w:spacing w:line="275" w:lineRule="exact"/>
        <w:jc w:val="both"/>
      </w:pPr>
      <w:r>
        <w:t>Data</w:t>
      </w:r>
      <w:r>
        <w:rPr>
          <w:spacing w:val="-4"/>
        </w:rPr>
        <w:t xml:space="preserve"> </w:t>
      </w:r>
      <w:r>
        <w:t>Collection</w:t>
      </w:r>
      <w:r>
        <w:rPr>
          <w:spacing w:val="-3"/>
        </w:rPr>
        <w:t xml:space="preserve"> </w:t>
      </w:r>
      <w:r>
        <w:rPr>
          <w:spacing w:val="-2"/>
        </w:rPr>
        <w:t>Instrument</w:t>
      </w:r>
    </w:p>
    <w:p w:rsidR="00E632C8" w:rsidRDefault="00D21170">
      <w:pPr>
        <w:pStyle w:val="BodyText"/>
        <w:spacing w:before="43" w:line="276" w:lineRule="auto"/>
        <w:ind w:right="713"/>
      </w:pPr>
      <w:r>
        <w:t>Primary</w:t>
      </w:r>
      <w:r>
        <w:rPr>
          <w:spacing w:val="-2"/>
        </w:rPr>
        <w:t xml:space="preserve"> </w:t>
      </w:r>
      <w:r>
        <w:t>data</w:t>
      </w:r>
      <w:r>
        <w:rPr>
          <w:spacing w:val="-2"/>
        </w:rPr>
        <w:t xml:space="preserve"> </w:t>
      </w:r>
      <w:r>
        <w:t>were</w:t>
      </w:r>
      <w:r>
        <w:rPr>
          <w:spacing w:val="-3"/>
        </w:rPr>
        <w:t xml:space="preserve"> </w:t>
      </w:r>
      <w:r>
        <w:t>collected</w:t>
      </w:r>
      <w:r>
        <w:rPr>
          <w:spacing w:val="-2"/>
        </w:rPr>
        <w:t xml:space="preserve"> </w:t>
      </w:r>
      <w:r>
        <w:t>using</w:t>
      </w:r>
      <w:r>
        <w:rPr>
          <w:spacing w:val="-1"/>
        </w:rPr>
        <w:t xml:space="preserve"> </w:t>
      </w:r>
      <w:r>
        <w:t>a</w:t>
      </w:r>
      <w:r>
        <w:rPr>
          <w:spacing w:val="-2"/>
        </w:rPr>
        <w:t xml:space="preserve"> </w:t>
      </w:r>
      <w:r>
        <w:t>structured</w:t>
      </w:r>
      <w:r>
        <w:rPr>
          <w:spacing w:val="-1"/>
        </w:rPr>
        <w:t xml:space="preserve"> </w:t>
      </w:r>
      <w:r>
        <w:t>questionnaire</w:t>
      </w:r>
      <w:r>
        <w:rPr>
          <w:spacing w:val="-2"/>
        </w:rPr>
        <w:t xml:space="preserve"> </w:t>
      </w:r>
      <w:r>
        <w:t>divided</w:t>
      </w:r>
      <w:r>
        <w:rPr>
          <w:spacing w:val="-1"/>
        </w:rPr>
        <w:t xml:space="preserve"> </w:t>
      </w:r>
      <w:r>
        <w:t>into</w:t>
      </w:r>
      <w:r>
        <w:rPr>
          <w:spacing w:val="-1"/>
        </w:rPr>
        <w:t xml:space="preserve"> </w:t>
      </w:r>
      <w:r>
        <w:t>two</w:t>
      </w:r>
      <w:r>
        <w:rPr>
          <w:spacing w:val="-2"/>
        </w:rPr>
        <w:t xml:space="preserve"> </w:t>
      </w:r>
      <w:r>
        <w:t>sections.</w:t>
      </w:r>
      <w:r>
        <w:rPr>
          <w:spacing w:val="-1"/>
        </w:rPr>
        <w:t xml:space="preserve"> </w:t>
      </w:r>
      <w:r>
        <w:t>Section</w:t>
      </w:r>
      <w:r>
        <w:rPr>
          <w:spacing w:val="-1"/>
        </w:rPr>
        <w:t xml:space="preserve"> </w:t>
      </w:r>
      <w:r>
        <w:t>A captured demographic and usage-related information, including gender, age, occupation, education, and frequency of e-banking use. Section B contained 25 statements measuring five service quality dimensions—reliability, responsiveness, assurance, empathy,</w:t>
      </w:r>
      <w:r>
        <w:t xml:space="preserve"> and tangibility—each represented by four items, along with a five-item customer satisfaction scale, all adapted from established SERVQUAL and e-SERVQUAL instruments used in prior banking research. Responses were recorded on a five-point Likert scale rangi</w:t>
      </w:r>
      <w:r>
        <w:t>ng from 1 (strongly disagree) to 5 (strongly agree). Secondary data were drawn from RBI publications, SBI annual reports, and peer-reviewed journal articles to support the literature review and contextual discussion.</w:t>
      </w:r>
    </w:p>
    <w:p w:rsidR="00E632C8" w:rsidRDefault="00E632C8">
      <w:pPr>
        <w:pStyle w:val="BodyText"/>
        <w:spacing w:line="276" w:lineRule="auto"/>
        <w:sectPr w:rsidR="00E632C8">
          <w:pgSz w:w="12240" w:h="15840"/>
          <w:pgMar w:top="2600" w:right="720" w:bottom="1280" w:left="1080" w:header="718" w:footer="1094" w:gutter="0"/>
          <w:cols w:space="720"/>
        </w:sectPr>
      </w:pPr>
    </w:p>
    <w:p w:rsidR="00E632C8" w:rsidRDefault="00D21170">
      <w:pPr>
        <w:pStyle w:val="Heading1"/>
        <w:numPr>
          <w:ilvl w:val="1"/>
          <w:numId w:val="2"/>
        </w:numPr>
        <w:tabs>
          <w:tab w:val="left" w:pos="720"/>
        </w:tabs>
        <w:spacing w:before="272"/>
        <w:jc w:val="both"/>
      </w:pPr>
      <w:r>
        <w:t>Variables</w:t>
      </w:r>
      <w:r>
        <w:rPr>
          <w:spacing w:val="-5"/>
        </w:rPr>
        <w:t xml:space="preserve"> </w:t>
      </w:r>
      <w:r>
        <w:t>and</w:t>
      </w:r>
      <w:r>
        <w:rPr>
          <w:spacing w:val="-2"/>
        </w:rPr>
        <w:t xml:space="preserve"> Hypotheses</w:t>
      </w:r>
    </w:p>
    <w:p w:rsidR="00E632C8" w:rsidRDefault="00D21170">
      <w:pPr>
        <w:pStyle w:val="BodyText"/>
        <w:spacing w:before="43" w:line="276" w:lineRule="auto"/>
      </w:pPr>
      <w:r>
        <w:t>The independent variables are the five SERVQUAL-based service quality dimensions</w:t>
      </w:r>
      <w:r>
        <w:rPr>
          <w:spacing w:val="40"/>
        </w:rPr>
        <w:t xml:space="preserve"> </w:t>
      </w:r>
      <w:r>
        <w:t>(reliability, responsiveness, assurance, empathy, and tangibility), and the dependent variable is overall customer satisfaction with SBI's e-banking services. Based on the obj</w:t>
      </w:r>
      <w:r>
        <w:t>ectives and</w:t>
      </w:r>
      <w:r>
        <w:rPr>
          <w:spacing w:val="40"/>
        </w:rPr>
        <w:t xml:space="preserve"> </w:t>
      </w:r>
      <w:r>
        <w:t>literature reviewed, the following hypotheses were formulated and tested:</w:t>
      </w:r>
    </w:p>
    <w:p w:rsidR="00E632C8" w:rsidRDefault="00D21170">
      <w:pPr>
        <w:pStyle w:val="BodyText"/>
        <w:spacing w:line="276" w:lineRule="auto"/>
        <w:ind w:right="715"/>
      </w:pPr>
      <w:r>
        <w:rPr>
          <w:b/>
        </w:rPr>
        <w:t xml:space="preserve">H01: </w:t>
      </w:r>
      <w:r>
        <w:t>There is no statistically significant relationship between e-banking service quality dimensions and customer satisfaction among SBI customers in Muzaffarpur district</w:t>
      </w:r>
      <w:r>
        <w:t>.</w:t>
      </w:r>
    </w:p>
    <w:p w:rsidR="00E632C8" w:rsidRDefault="00D21170">
      <w:pPr>
        <w:pStyle w:val="BodyText"/>
        <w:spacing w:line="276" w:lineRule="auto"/>
        <w:ind w:right="718"/>
      </w:pPr>
      <w:r>
        <w:rPr>
          <w:b/>
        </w:rPr>
        <w:t xml:space="preserve">Ha1: </w:t>
      </w:r>
      <w:r>
        <w:t>There is a statistically significant relationship between e-banking service quality dimensions and customer satisfaction among SBI customers in Muzaffarpur district.</w:t>
      </w:r>
    </w:p>
    <w:p w:rsidR="00E632C8" w:rsidRDefault="00D21170">
      <w:pPr>
        <w:pStyle w:val="BodyText"/>
        <w:spacing w:before="1" w:line="276" w:lineRule="auto"/>
        <w:ind w:right="718"/>
      </w:pPr>
      <w:r>
        <w:rPr>
          <w:b/>
        </w:rPr>
        <w:t xml:space="preserve">H02: </w:t>
      </w:r>
      <w:r>
        <w:t>There is no statistically significant difference in customer satisfaction with</w:t>
      </w:r>
      <w:r>
        <w:t xml:space="preserve"> e-banking services between male and female customers.</w:t>
      </w:r>
    </w:p>
    <w:p w:rsidR="00E632C8" w:rsidRDefault="00D21170">
      <w:pPr>
        <w:pStyle w:val="BodyText"/>
        <w:spacing w:line="276" w:lineRule="auto"/>
        <w:ind w:right="718"/>
      </w:pPr>
      <w:r>
        <w:rPr>
          <w:b/>
        </w:rPr>
        <w:t xml:space="preserve">Ha2: </w:t>
      </w:r>
      <w:r>
        <w:t>There is a statistically significant difference in customer satisfaction with e-banking services between male and female customers.</w:t>
      </w:r>
    </w:p>
    <w:p w:rsidR="00E632C8" w:rsidRDefault="00D21170">
      <w:pPr>
        <w:pStyle w:val="BodyText"/>
        <w:spacing w:line="276" w:lineRule="auto"/>
        <w:ind w:right="718"/>
      </w:pPr>
      <w:r>
        <w:rPr>
          <w:b/>
        </w:rPr>
        <w:t xml:space="preserve">H03: </w:t>
      </w:r>
      <w:r>
        <w:t>There is no statistically significant difference in custome</w:t>
      </w:r>
      <w:r>
        <w:t>r satisfaction with e-banking services across different age groups.</w:t>
      </w:r>
    </w:p>
    <w:p w:rsidR="00E632C8" w:rsidRDefault="00D21170">
      <w:pPr>
        <w:pStyle w:val="BodyText"/>
        <w:spacing w:line="276" w:lineRule="auto"/>
        <w:ind w:right="718"/>
      </w:pPr>
      <w:r>
        <w:rPr>
          <w:b/>
        </w:rPr>
        <w:t xml:space="preserve">Ha3: </w:t>
      </w:r>
      <w:r>
        <w:t>There is a statistically significant difference in customer satisfaction with e-banking services across different age groups.</w:t>
      </w:r>
    </w:p>
    <w:p w:rsidR="00E632C8" w:rsidRDefault="00D21170">
      <w:pPr>
        <w:pStyle w:val="Heading1"/>
        <w:numPr>
          <w:ilvl w:val="1"/>
          <w:numId w:val="2"/>
        </w:numPr>
        <w:tabs>
          <w:tab w:val="left" w:pos="720"/>
        </w:tabs>
        <w:spacing w:line="275" w:lineRule="exact"/>
        <w:jc w:val="both"/>
      </w:pPr>
      <w:r>
        <w:t>Statistical</w:t>
      </w:r>
      <w:r>
        <w:rPr>
          <w:spacing w:val="-2"/>
        </w:rPr>
        <w:t xml:space="preserve"> Tools</w:t>
      </w:r>
    </w:p>
    <w:p w:rsidR="00E632C8" w:rsidRDefault="00D21170">
      <w:pPr>
        <w:pStyle w:val="BodyText"/>
        <w:spacing w:before="42" w:line="276" w:lineRule="auto"/>
      </w:pPr>
      <w:r>
        <w:t xml:space="preserve">Collected data were coded and </w:t>
      </w:r>
      <w:proofErr w:type="spellStart"/>
      <w:r>
        <w:t>analysed</w:t>
      </w:r>
      <w:proofErr w:type="spellEnd"/>
      <w:r>
        <w:t xml:space="preserve"> </w:t>
      </w:r>
      <w:r>
        <w:t>using IBM SPSS Statistics (version 26). The following statistical</w:t>
      </w:r>
      <w:r>
        <w:rPr>
          <w:spacing w:val="-1"/>
        </w:rPr>
        <w:t xml:space="preserve"> </w:t>
      </w:r>
      <w:r>
        <w:t>techniques</w:t>
      </w:r>
      <w:r>
        <w:rPr>
          <w:spacing w:val="-2"/>
        </w:rPr>
        <w:t xml:space="preserve"> </w:t>
      </w:r>
      <w:r>
        <w:t>were</w:t>
      </w:r>
      <w:r>
        <w:rPr>
          <w:spacing w:val="-2"/>
        </w:rPr>
        <w:t xml:space="preserve"> </w:t>
      </w:r>
      <w:r>
        <w:t>applied:</w:t>
      </w:r>
      <w:r>
        <w:rPr>
          <w:spacing w:val="-1"/>
        </w:rPr>
        <w:t xml:space="preserve"> </w:t>
      </w:r>
      <w:r>
        <w:t>(</w:t>
      </w:r>
      <w:proofErr w:type="spellStart"/>
      <w:r>
        <w:t>i</w:t>
      </w:r>
      <w:proofErr w:type="spellEnd"/>
      <w:r>
        <w:t>)</w:t>
      </w:r>
      <w:r>
        <w:rPr>
          <w:spacing w:val="-2"/>
        </w:rPr>
        <w:t xml:space="preserve"> </w:t>
      </w:r>
      <w:r>
        <w:t>descriptive</w:t>
      </w:r>
      <w:r>
        <w:rPr>
          <w:spacing w:val="-1"/>
        </w:rPr>
        <w:t xml:space="preserve"> </w:t>
      </w:r>
      <w:r>
        <w:t>statistics</w:t>
      </w:r>
      <w:r>
        <w:rPr>
          <w:spacing w:val="-1"/>
        </w:rPr>
        <w:t xml:space="preserve"> </w:t>
      </w:r>
      <w:r>
        <w:t>(frequencies,</w:t>
      </w:r>
      <w:r>
        <w:rPr>
          <w:spacing w:val="-2"/>
        </w:rPr>
        <w:t xml:space="preserve"> </w:t>
      </w:r>
      <w:r>
        <w:t>percentages,</w:t>
      </w:r>
      <w:r>
        <w:rPr>
          <w:spacing w:val="-1"/>
        </w:rPr>
        <w:t xml:space="preserve"> </w:t>
      </w:r>
      <w:r>
        <w:t>means,</w:t>
      </w:r>
      <w:r>
        <w:rPr>
          <w:spacing w:val="-1"/>
        </w:rPr>
        <w:t xml:space="preserve"> </w:t>
      </w:r>
      <w:r>
        <w:t xml:space="preserve">and standard deviations) to profile respondents and </w:t>
      </w:r>
      <w:proofErr w:type="spellStart"/>
      <w:r>
        <w:t>summarise</w:t>
      </w:r>
      <w:proofErr w:type="spellEnd"/>
      <w:r>
        <w:t xml:space="preserve"> service quality perceptions; (ii) Cronbach</w:t>
      </w:r>
      <w:r>
        <w:t>'s alpha to assess the internal consistency and reliability of the multi-item scales; (iii) Pearson product-moment correlation to examine the strength and direction of association</w:t>
      </w:r>
      <w:r>
        <w:rPr>
          <w:spacing w:val="40"/>
        </w:rPr>
        <w:t xml:space="preserve"> </w:t>
      </w:r>
      <w:r>
        <w:t xml:space="preserve">between service quality dimensions and customer satisfaction; (iv) multiple </w:t>
      </w:r>
      <w:r>
        <w:t>linear regression to identify the relative predictive contribution of each service quality dimension to customer satisfaction and to test hypothesis H01/Ha1; and (v) an independent samples t-test and one-way ANOVA</w:t>
      </w:r>
      <w:r>
        <w:rPr>
          <w:spacing w:val="-3"/>
        </w:rPr>
        <w:t xml:space="preserve"> </w:t>
      </w:r>
      <w:r>
        <w:t>to</w:t>
      </w:r>
      <w:r>
        <w:rPr>
          <w:spacing w:val="-3"/>
        </w:rPr>
        <w:t xml:space="preserve"> </w:t>
      </w:r>
      <w:r>
        <w:t>test</w:t>
      </w:r>
      <w:r>
        <w:rPr>
          <w:spacing w:val="-3"/>
        </w:rPr>
        <w:t xml:space="preserve"> </w:t>
      </w:r>
      <w:r>
        <w:t>hypotheses</w:t>
      </w:r>
      <w:r>
        <w:rPr>
          <w:spacing w:val="-3"/>
        </w:rPr>
        <w:t xml:space="preserve"> </w:t>
      </w:r>
      <w:r>
        <w:t>H02/Ha2</w:t>
      </w:r>
      <w:r>
        <w:rPr>
          <w:spacing w:val="-1"/>
        </w:rPr>
        <w:t xml:space="preserve"> </w:t>
      </w:r>
      <w:r>
        <w:t>and</w:t>
      </w:r>
      <w:r>
        <w:rPr>
          <w:spacing w:val="-3"/>
        </w:rPr>
        <w:t xml:space="preserve"> </w:t>
      </w:r>
      <w:r>
        <w:t>H03/Ha3</w:t>
      </w:r>
      <w:r>
        <w:rPr>
          <w:spacing w:val="-3"/>
        </w:rPr>
        <w:t xml:space="preserve"> </w:t>
      </w:r>
      <w:r>
        <w:t>res</w:t>
      </w:r>
      <w:r>
        <w:t>pectively.</w:t>
      </w:r>
      <w:r>
        <w:rPr>
          <w:spacing w:val="-3"/>
        </w:rPr>
        <w:t xml:space="preserve"> </w:t>
      </w:r>
      <w:r>
        <w:t>A</w:t>
      </w:r>
      <w:r>
        <w:rPr>
          <w:spacing w:val="-3"/>
        </w:rPr>
        <w:t xml:space="preserve"> </w:t>
      </w:r>
      <w:r>
        <w:t>significance</w:t>
      </w:r>
      <w:r>
        <w:rPr>
          <w:spacing w:val="-3"/>
        </w:rPr>
        <w:t xml:space="preserve"> </w:t>
      </w:r>
      <w:r>
        <w:t>level</w:t>
      </w:r>
      <w:r>
        <w:rPr>
          <w:spacing w:val="-3"/>
        </w:rPr>
        <w:t xml:space="preserve"> </w:t>
      </w:r>
      <w:r>
        <w:t>of</w:t>
      </w:r>
      <w:r>
        <w:rPr>
          <w:spacing w:val="-2"/>
        </w:rPr>
        <w:t xml:space="preserve"> </w:t>
      </w:r>
      <w:r>
        <w:t>0.05</w:t>
      </w:r>
      <w:r>
        <w:rPr>
          <w:spacing w:val="-3"/>
        </w:rPr>
        <w:t xml:space="preserve"> </w:t>
      </w:r>
      <w:r>
        <w:t>was adopted throughout for hypothesis testing.</w:t>
      </w:r>
    </w:p>
    <w:p w:rsidR="00E632C8" w:rsidRDefault="00D21170">
      <w:pPr>
        <w:pStyle w:val="Heading1"/>
        <w:numPr>
          <w:ilvl w:val="0"/>
          <w:numId w:val="2"/>
        </w:numPr>
        <w:tabs>
          <w:tab w:val="left" w:pos="600"/>
        </w:tabs>
        <w:spacing w:line="276" w:lineRule="exact"/>
        <w:jc w:val="both"/>
      </w:pPr>
      <w:r>
        <w:t>Results</w:t>
      </w:r>
      <w:r>
        <w:rPr>
          <w:spacing w:val="-4"/>
        </w:rPr>
        <w:t xml:space="preserve"> </w:t>
      </w:r>
      <w:r>
        <w:t>and</w:t>
      </w:r>
      <w:r>
        <w:rPr>
          <w:spacing w:val="-3"/>
        </w:rPr>
        <w:t xml:space="preserve"> </w:t>
      </w:r>
      <w:r>
        <w:rPr>
          <w:spacing w:val="-2"/>
        </w:rPr>
        <w:t>Discussion</w:t>
      </w:r>
    </w:p>
    <w:p w:rsidR="00E632C8" w:rsidRDefault="00D21170">
      <w:pPr>
        <w:pStyle w:val="ListParagraph"/>
        <w:numPr>
          <w:ilvl w:val="1"/>
          <w:numId w:val="2"/>
        </w:numPr>
        <w:tabs>
          <w:tab w:val="left" w:pos="720"/>
        </w:tabs>
        <w:spacing w:before="41"/>
        <w:jc w:val="both"/>
        <w:rPr>
          <w:b/>
          <w:sz w:val="24"/>
        </w:rPr>
      </w:pPr>
      <w:r>
        <w:rPr>
          <w:b/>
          <w:sz w:val="24"/>
        </w:rPr>
        <w:t>Demographic</w:t>
      </w:r>
      <w:r>
        <w:rPr>
          <w:b/>
          <w:spacing w:val="-2"/>
          <w:sz w:val="24"/>
        </w:rPr>
        <w:t xml:space="preserve"> </w:t>
      </w:r>
      <w:r>
        <w:rPr>
          <w:b/>
          <w:sz w:val="24"/>
        </w:rPr>
        <w:t>Profile</w:t>
      </w:r>
      <w:r>
        <w:rPr>
          <w:b/>
          <w:spacing w:val="-3"/>
          <w:sz w:val="24"/>
        </w:rPr>
        <w:t xml:space="preserve"> </w:t>
      </w:r>
      <w:r>
        <w:rPr>
          <w:b/>
          <w:sz w:val="24"/>
        </w:rPr>
        <w:t>of</w:t>
      </w:r>
      <w:r>
        <w:rPr>
          <w:b/>
          <w:spacing w:val="-1"/>
          <w:sz w:val="24"/>
        </w:rPr>
        <w:t xml:space="preserve"> </w:t>
      </w:r>
      <w:r>
        <w:rPr>
          <w:b/>
          <w:spacing w:val="-2"/>
          <w:sz w:val="24"/>
        </w:rPr>
        <w:t>Respondents</w:t>
      </w:r>
    </w:p>
    <w:p w:rsidR="00E632C8" w:rsidRDefault="00D21170">
      <w:pPr>
        <w:pStyle w:val="BodyText"/>
        <w:spacing w:before="43" w:line="276" w:lineRule="auto"/>
        <w:ind w:right="715"/>
      </w:pPr>
      <w:r>
        <w:t>Table</w:t>
      </w:r>
      <w:r>
        <w:rPr>
          <w:spacing w:val="-2"/>
        </w:rPr>
        <w:t xml:space="preserve"> </w:t>
      </w:r>
      <w:r>
        <w:t>1</w:t>
      </w:r>
      <w:r>
        <w:rPr>
          <w:spacing w:val="-2"/>
        </w:rPr>
        <w:t xml:space="preserve"> </w:t>
      </w:r>
      <w:r>
        <w:t>presents</w:t>
      </w:r>
      <w:r>
        <w:rPr>
          <w:spacing w:val="-3"/>
        </w:rPr>
        <w:t xml:space="preserve"> </w:t>
      </w:r>
      <w:r>
        <w:t>the</w:t>
      </w:r>
      <w:r>
        <w:rPr>
          <w:spacing w:val="-1"/>
        </w:rPr>
        <w:t xml:space="preserve"> </w:t>
      </w:r>
      <w:r>
        <w:t>demographic</w:t>
      </w:r>
      <w:r>
        <w:rPr>
          <w:spacing w:val="-1"/>
        </w:rPr>
        <w:t xml:space="preserve"> </w:t>
      </w:r>
      <w:r>
        <w:t>and</w:t>
      </w:r>
      <w:r>
        <w:rPr>
          <w:spacing w:val="-2"/>
        </w:rPr>
        <w:t xml:space="preserve"> </w:t>
      </w:r>
      <w:r>
        <w:t>usage</w:t>
      </w:r>
      <w:r>
        <w:rPr>
          <w:spacing w:val="-3"/>
        </w:rPr>
        <w:t xml:space="preserve"> </w:t>
      </w:r>
      <w:r>
        <w:t>profile</w:t>
      </w:r>
      <w:r>
        <w:rPr>
          <w:spacing w:val="-3"/>
        </w:rPr>
        <w:t xml:space="preserve"> </w:t>
      </w:r>
      <w:r>
        <w:t>of</w:t>
      </w:r>
      <w:r>
        <w:rPr>
          <w:spacing w:val="-2"/>
        </w:rPr>
        <w:t xml:space="preserve"> </w:t>
      </w:r>
      <w:r>
        <w:t>the</w:t>
      </w:r>
      <w:r>
        <w:rPr>
          <w:spacing w:val="-1"/>
        </w:rPr>
        <w:t xml:space="preserve"> </w:t>
      </w:r>
      <w:r>
        <w:t>150</w:t>
      </w:r>
      <w:r>
        <w:rPr>
          <w:spacing w:val="-2"/>
        </w:rPr>
        <w:t xml:space="preserve"> </w:t>
      </w:r>
      <w:r>
        <w:t>respondents surveyed.</w:t>
      </w:r>
      <w:r>
        <w:rPr>
          <w:spacing w:val="-2"/>
        </w:rPr>
        <w:t xml:space="preserve"> </w:t>
      </w:r>
      <w:r>
        <w:t>The</w:t>
      </w:r>
      <w:r>
        <w:rPr>
          <w:spacing w:val="-3"/>
        </w:rPr>
        <w:t xml:space="preserve"> </w:t>
      </w:r>
      <w:r>
        <w:t>sample was reasonably balanced across age groups and skewed slightly toward male respondents (58.7%), which broadly mirrors the gender distribution reported in prior SBI-focused customer satisfaction studies in northern India. A majority of respondents (69</w:t>
      </w:r>
      <w:r>
        <w:t>.4%) held a graduate or postgraduate</w:t>
      </w:r>
      <w:r>
        <w:rPr>
          <w:spacing w:val="53"/>
        </w:rPr>
        <w:t xml:space="preserve"> </w:t>
      </w:r>
      <w:r>
        <w:t>qualification,</w:t>
      </w:r>
      <w:r>
        <w:rPr>
          <w:spacing w:val="56"/>
        </w:rPr>
        <w:t xml:space="preserve"> </w:t>
      </w:r>
      <w:r>
        <w:t>and</w:t>
      </w:r>
      <w:r>
        <w:rPr>
          <w:spacing w:val="56"/>
        </w:rPr>
        <w:t xml:space="preserve"> </w:t>
      </w:r>
      <w:r>
        <w:t>more</w:t>
      </w:r>
      <w:r>
        <w:rPr>
          <w:spacing w:val="55"/>
        </w:rPr>
        <w:t xml:space="preserve"> </w:t>
      </w:r>
      <w:r>
        <w:t>than</w:t>
      </w:r>
      <w:r>
        <w:rPr>
          <w:spacing w:val="55"/>
        </w:rPr>
        <w:t xml:space="preserve"> </w:t>
      </w:r>
      <w:r>
        <w:t>65</w:t>
      </w:r>
      <w:r>
        <w:rPr>
          <w:spacing w:val="56"/>
        </w:rPr>
        <w:t xml:space="preserve"> </w:t>
      </w:r>
      <w:r>
        <w:t>percent</w:t>
      </w:r>
      <w:r>
        <w:rPr>
          <w:spacing w:val="56"/>
        </w:rPr>
        <w:t xml:space="preserve"> </w:t>
      </w:r>
      <w:r>
        <w:t>used</w:t>
      </w:r>
      <w:r>
        <w:rPr>
          <w:spacing w:val="56"/>
        </w:rPr>
        <w:t xml:space="preserve"> </w:t>
      </w:r>
      <w:r>
        <w:t>e-banking</w:t>
      </w:r>
      <w:r>
        <w:rPr>
          <w:spacing w:val="56"/>
        </w:rPr>
        <w:t xml:space="preserve"> </w:t>
      </w:r>
      <w:r>
        <w:t>services</w:t>
      </w:r>
      <w:r>
        <w:rPr>
          <w:spacing w:val="58"/>
        </w:rPr>
        <w:t xml:space="preserve"> </w:t>
      </w:r>
      <w:r>
        <w:t>at</w:t>
      </w:r>
      <w:r>
        <w:rPr>
          <w:spacing w:val="56"/>
        </w:rPr>
        <w:t xml:space="preserve"> </w:t>
      </w:r>
      <w:r>
        <w:t>least</w:t>
      </w:r>
      <w:r>
        <w:rPr>
          <w:spacing w:val="57"/>
        </w:rPr>
        <w:t xml:space="preserve"> </w:t>
      </w:r>
      <w:r>
        <w:t>on</w:t>
      </w:r>
      <w:r>
        <w:rPr>
          <w:spacing w:val="59"/>
        </w:rPr>
        <w:t xml:space="preserve"> </w:t>
      </w:r>
      <w:r>
        <w:rPr>
          <w:spacing w:val="-10"/>
        </w:rPr>
        <w:t>a</w:t>
      </w:r>
    </w:p>
    <w:p w:rsidR="00E632C8" w:rsidRDefault="00E632C8">
      <w:pPr>
        <w:pStyle w:val="BodyText"/>
        <w:spacing w:line="276" w:lineRule="auto"/>
        <w:sectPr w:rsidR="00E632C8">
          <w:pgSz w:w="12240" w:h="15840"/>
          <w:pgMar w:top="2600" w:right="720" w:bottom="1280" w:left="1080" w:header="718" w:footer="1094" w:gutter="0"/>
          <w:cols w:space="720"/>
        </w:sectPr>
      </w:pPr>
    </w:p>
    <w:p w:rsidR="00E632C8" w:rsidRDefault="00D21170">
      <w:pPr>
        <w:pStyle w:val="BodyText"/>
        <w:spacing w:before="272" w:line="278" w:lineRule="auto"/>
        <w:ind w:right="724"/>
      </w:pPr>
      <w:r>
        <w:t>weekly basis, indicating a reasonably digitally engaged sample suitable for evaluating service quality perceptions.</w:t>
      </w:r>
    </w:p>
    <w:p w:rsidR="00E632C8" w:rsidRDefault="00D21170">
      <w:pPr>
        <w:spacing w:after="47" w:line="272" w:lineRule="exact"/>
        <w:ind w:left="360"/>
        <w:jc w:val="both"/>
        <w:rPr>
          <w:b/>
          <w:sz w:val="24"/>
        </w:rPr>
      </w:pPr>
      <w:r>
        <w:rPr>
          <w:b/>
          <w:sz w:val="24"/>
        </w:rPr>
        <w:t>Table</w:t>
      </w:r>
      <w:r>
        <w:rPr>
          <w:b/>
          <w:spacing w:val="-4"/>
          <w:sz w:val="24"/>
        </w:rPr>
        <w:t xml:space="preserve"> </w:t>
      </w:r>
      <w:r>
        <w:rPr>
          <w:b/>
          <w:sz w:val="24"/>
        </w:rPr>
        <w:t>1.</w:t>
      </w:r>
      <w:r>
        <w:rPr>
          <w:b/>
          <w:spacing w:val="-2"/>
          <w:sz w:val="24"/>
        </w:rPr>
        <w:t xml:space="preserve"> </w:t>
      </w:r>
      <w:r>
        <w:rPr>
          <w:b/>
          <w:sz w:val="24"/>
        </w:rPr>
        <w:t>Demographic</w:t>
      </w:r>
      <w:r>
        <w:rPr>
          <w:b/>
          <w:spacing w:val="-1"/>
          <w:sz w:val="24"/>
        </w:rPr>
        <w:t xml:space="preserve"> </w:t>
      </w:r>
      <w:r>
        <w:rPr>
          <w:b/>
          <w:sz w:val="24"/>
        </w:rPr>
        <w:t>and</w:t>
      </w:r>
      <w:r>
        <w:rPr>
          <w:b/>
          <w:spacing w:val="-2"/>
          <w:sz w:val="24"/>
        </w:rPr>
        <w:t xml:space="preserve"> </w:t>
      </w:r>
      <w:r>
        <w:rPr>
          <w:b/>
          <w:sz w:val="24"/>
        </w:rPr>
        <w:t>Usage</w:t>
      </w:r>
      <w:r>
        <w:rPr>
          <w:b/>
          <w:spacing w:val="-3"/>
          <w:sz w:val="24"/>
        </w:rPr>
        <w:t xml:space="preserve"> </w:t>
      </w:r>
      <w:r>
        <w:rPr>
          <w:b/>
          <w:sz w:val="24"/>
        </w:rPr>
        <w:t>Profile</w:t>
      </w:r>
      <w:r>
        <w:rPr>
          <w:b/>
          <w:spacing w:val="-2"/>
          <w:sz w:val="24"/>
        </w:rPr>
        <w:t xml:space="preserve"> </w:t>
      </w:r>
      <w:r>
        <w:rPr>
          <w:b/>
          <w:sz w:val="24"/>
        </w:rPr>
        <w:t>of</w:t>
      </w:r>
      <w:r>
        <w:rPr>
          <w:b/>
          <w:spacing w:val="-2"/>
          <w:sz w:val="24"/>
        </w:rPr>
        <w:t xml:space="preserve"> </w:t>
      </w:r>
      <w:r>
        <w:rPr>
          <w:b/>
          <w:sz w:val="24"/>
        </w:rPr>
        <w:t>Respondents</w:t>
      </w:r>
      <w:r>
        <w:rPr>
          <w:b/>
          <w:spacing w:val="-2"/>
          <w:sz w:val="24"/>
        </w:rPr>
        <w:t xml:space="preserve"> </w:t>
      </w:r>
      <w:r>
        <w:rPr>
          <w:b/>
          <w:sz w:val="24"/>
        </w:rPr>
        <w:t>(n</w:t>
      </w:r>
      <w:r>
        <w:rPr>
          <w:b/>
          <w:spacing w:val="-2"/>
          <w:sz w:val="24"/>
        </w:rPr>
        <w:t xml:space="preserve"> </w:t>
      </w:r>
      <w:r>
        <w:rPr>
          <w:b/>
          <w:sz w:val="24"/>
        </w:rPr>
        <w:t>=</w:t>
      </w:r>
      <w:r>
        <w:rPr>
          <w:b/>
          <w:spacing w:val="-1"/>
          <w:sz w:val="24"/>
        </w:rPr>
        <w:t xml:space="preserve"> </w:t>
      </w:r>
      <w:r>
        <w:rPr>
          <w:b/>
          <w:spacing w:val="-4"/>
          <w:sz w:val="24"/>
        </w:rPr>
        <w:t>150)</w:t>
      </w:r>
    </w:p>
    <w:tbl>
      <w:tblPr>
        <w:tblW w:w="0" w:type="auto"/>
        <w:tblInd w:w="245" w:type="dxa"/>
        <w:tblLayout w:type="fixed"/>
        <w:tblCellMar>
          <w:left w:w="0" w:type="dxa"/>
          <w:right w:w="0" w:type="dxa"/>
        </w:tblCellMar>
        <w:tblLook w:val="01E0" w:firstRow="1" w:lastRow="1" w:firstColumn="1" w:lastColumn="1" w:noHBand="0" w:noVBand="0"/>
      </w:tblPr>
      <w:tblGrid>
        <w:gridCol w:w="2787"/>
        <w:gridCol w:w="3279"/>
        <w:gridCol w:w="1771"/>
        <w:gridCol w:w="2178"/>
      </w:tblGrid>
      <w:tr w:rsidR="00E632C8">
        <w:trPr>
          <w:trHeight w:val="318"/>
        </w:trPr>
        <w:tc>
          <w:tcPr>
            <w:tcW w:w="6066" w:type="dxa"/>
            <w:gridSpan w:val="2"/>
            <w:tcBorders>
              <w:top w:val="single" w:sz="4" w:space="0" w:color="7E7E7E"/>
              <w:bottom w:val="single" w:sz="4" w:space="0" w:color="7E7E7E"/>
            </w:tcBorders>
          </w:tcPr>
          <w:p w:rsidR="00E632C8" w:rsidRDefault="00D21170">
            <w:pPr>
              <w:pStyle w:val="TableParagraph"/>
              <w:tabs>
                <w:tab w:val="left" w:pos="3074"/>
              </w:tabs>
              <w:ind w:right="313"/>
              <w:rPr>
                <w:b/>
                <w:sz w:val="24"/>
              </w:rPr>
            </w:pPr>
            <w:r>
              <w:rPr>
                <w:b/>
                <w:spacing w:val="-2"/>
                <w:sz w:val="24"/>
              </w:rPr>
              <w:t>Variable</w:t>
            </w:r>
            <w:r>
              <w:rPr>
                <w:b/>
                <w:sz w:val="24"/>
              </w:rPr>
              <w:tab/>
            </w:r>
            <w:r>
              <w:rPr>
                <w:b/>
                <w:spacing w:val="-2"/>
                <w:sz w:val="24"/>
              </w:rPr>
              <w:t>Category</w:t>
            </w:r>
          </w:p>
        </w:tc>
        <w:tc>
          <w:tcPr>
            <w:tcW w:w="1771" w:type="dxa"/>
            <w:tcBorders>
              <w:top w:val="single" w:sz="4" w:space="0" w:color="7E7E7E"/>
              <w:bottom w:val="single" w:sz="4" w:space="0" w:color="7E7E7E"/>
            </w:tcBorders>
          </w:tcPr>
          <w:p w:rsidR="00E632C8" w:rsidRDefault="00D21170">
            <w:pPr>
              <w:pStyle w:val="TableParagraph"/>
              <w:ind w:left="124" w:right="3"/>
              <w:rPr>
                <w:b/>
                <w:sz w:val="24"/>
              </w:rPr>
            </w:pPr>
            <w:r>
              <w:rPr>
                <w:b/>
                <w:spacing w:val="-2"/>
                <w:sz w:val="24"/>
              </w:rPr>
              <w:t>Frequency</w:t>
            </w:r>
          </w:p>
        </w:tc>
        <w:tc>
          <w:tcPr>
            <w:tcW w:w="2178" w:type="dxa"/>
            <w:tcBorders>
              <w:top w:val="single" w:sz="4" w:space="0" w:color="7E7E7E"/>
              <w:bottom w:val="single" w:sz="4" w:space="0" w:color="7E7E7E"/>
            </w:tcBorders>
          </w:tcPr>
          <w:p w:rsidR="00E632C8" w:rsidRDefault="00D21170">
            <w:pPr>
              <w:pStyle w:val="TableParagraph"/>
              <w:ind w:right="22"/>
              <w:rPr>
                <w:b/>
                <w:sz w:val="24"/>
              </w:rPr>
            </w:pPr>
            <w:r>
              <w:rPr>
                <w:b/>
                <w:sz w:val="24"/>
              </w:rPr>
              <w:t>Percentage</w:t>
            </w:r>
            <w:r>
              <w:rPr>
                <w:b/>
                <w:spacing w:val="-5"/>
                <w:sz w:val="24"/>
              </w:rPr>
              <w:t xml:space="preserve"> (%)</w:t>
            </w:r>
          </w:p>
        </w:tc>
      </w:tr>
      <w:tr w:rsidR="00E632C8">
        <w:trPr>
          <w:trHeight w:val="316"/>
        </w:trPr>
        <w:tc>
          <w:tcPr>
            <w:tcW w:w="2787" w:type="dxa"/>
            <w:tcBorders>
              <w:bottom w:val="single" w:sz="4" w:space="0" w:color="7E7E7E"/>
            </w:tcBorders>
          </w:tcPr>
          <w:p w:rsidR="00E632C8" w:rsidRDefault="00D21170">
            <w:pPr>
              <w:pStyle w:val="TableParagraph"/>
              <w:spacing w:line="270" w:lineRule="exact"/>
              <w:ind w:left="122"/>
              <w:jc w:val="left"/>
              <w:rPr>
                <w:sz w:val="24"/>
              </w:rPr>
            </w:pPr>
            <w:r>
              <w:rPr>
                <w:spacing w:val="-2"/>
                <w:sz w:val="24"/>
              </w:rPr>
              <w:t>Gender</w:t>
            </w:r>
          </w:p>
        </w:tc>
        <w:tc>
          <w:tcPr>
            <w:tcW w:w="3279" w:type="dxa"/>
            <w:tcBorders>
              <w:bottom w:val="single" w:sz="4" w:space="0" w:color="7E7E7E"/>
            </w:tcBorders>
          </w:tcPr>
          <w:p w:rsidR="00E632C8" w:rsidRDefault="00D21170">
            <w:pPr>
              <w:pStyle w:val="TableParagraph"/>
              <w:spacing w:line="270" w:lineRule="exact"/>
              <w:ind w:right="24"/>
              <w:rPr>
                <w:sz w:val="24"/>
              </w:rPr>
            </w:pPr>
            <w:r>
              <w:rPr>
                <w:spacing w:val="-4"/>
                <w:sz w:val="24"/>
              </w:rPr>
              <w:t>Male</w:t>
            </w:r>
          </w:p>
        </w:tc>
        <w:tc>
          <w:tcPr>
            <w:tcW w:w="1771" w:type="dxa"/>
            <w:tcBorders>
              <w:bottom w:val="single" w:sz="4" w:space="0" w:color="7E7E7E"/>
            </w:tcBorders>
          </w:tcPr>
          <w:p w:rsidR="00E632C8" w:rsidRDefault="00D21170">
            <w:pPr>
              <w:pStyle w:val="TableParagraph"/>
              <w:spacing w:line="270" w:lineRule="exact"/>
              <w:ind w:left="124"/>
              <w:rPr>
                <w:sz w:val="24"/>
              </w:rPr>
            </w:pPr>
            <w:r>
              <w:rPr>
                <w:spacing w:val="-5"/>
                <w:sz w:val="24"/>
              </w:rPr>
              <w:t>88</w:t>
            </w:r>
          </w:p>
        </w:tc>
        <w:tc>
          <w:tcPr>
            <w:tcW w:w="2178" w:type="dxa"/>
            <w:tcBorders>
              <w:bottom w:val="single" w:sz="4" w:space="0" w:color="7E7E7E"/>
            </w:tcBorders>
          </w:tcPr>
          <w:p w:rsidR="00E632C8" w:rsidRDefault="00D21170">
            <w:pPr>
              <w:pStyle w:val="TableParagraph"/>
              <w:spacing w:line="270" w:lineRule="exact"/>
              <w:ind w:left="5" w:right="22"/>
              <w:rPr>
                <w:sz w:val="24"/>
              </w:rPr>
            </w:pPr>
            <w:r>
              <w:rPr>
                <w:spacing w:val="-4"/>
                <w:sz w:val="24"/>
              </w:rPr>
              <w:t>58.7</w:t>
            </w:r>
          </w:p>
        </w:tc>
      </w:tr>
      <w:tr w:rsidR="00E632C8">
        <w:trPr>
          <w:trHeight w:val="316"/>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4"/>
              <w:rPr>
                <w:sz w:val="24"/>
              </w:rPr>
            </w:pPr>
            <w:r>
              <w:rPr>
                <w:spacing w:val="-2"/>
                <w:sz w:val="24"/>
              </w:rPr>
              <w:t>Female</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62</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4"/>
                <w:sz w:val="24"/>
              </w:rPr>
              <w:t>41.3</w:t>
            </w:r>
          </w:p>
        </w:tc>
      </w:tr>
      <w:tr w:rsidR="00E632C8">
        <w:trPr>
          <w:trHeight w:val="319"/>
        </w:trPr>
        <w:tc>
          <w:tcPr>
            <w:tcW w:w="2787" w:type="dxa"/>
            <w:tcBorders>
              <w:top w:val="single" w:sz="4" w:space="0" w:color="7E7E7E"/>
              <w:bottom w:val="single" w:sz="4" w:space="0" w:color="7E7E7E"/>
            </w:tcBorders>
          </w:tcPr>
          <w:p w:rsidR="00E632C8" w:rsidRDefault="00D21170">
            <w:pPr>
              <w:pStyle w:val="TableParagraph"/>
              <w:spacing w:line="276" w:lineRule="exact"/>
              <w:ind w:left="122"/>
              <w:jc w:val="left"/>
              <w:rPr>
                <w:sz w:val="24"/>
              </w:rPr>
            </w:pPr>
            <w:r>
              <w:rPr>
                <w:sz w:val="24"/>
              </w:rPr>
              <w:t>Age</w:t>
            </w:r>
            <w:r>
              <w:rPr>
                <w:spacing w:val="-2"/>
                <w:sz w:val="24"/>
              </w:rPr>
              <w:t xml:space="preserve"> (years)</w:t>
            </w:r>
          </w:p>
        </w:tc>
        <w:tc>
          <w:tcPr>
            <w:tcW w:w="3279" w:type="dxa"/>
            <w:tcBorders>
              <w:top w:val="single" w:sz="4" w:space="0" w:color="7E7E7E"/>
              <w:bottom w:val="single" w:sz="4" w:space="0" w:color="7E7E7E"/>
            </w:tcBorders>
          </w:tcPr>
          <w:p w:rsidR="00E632C8" w:rsidRDefault="00D21170">
            <w:pPr>
              <w:pStyle w:val="TableParagraph"/>
              <w:spacing w:line="276" w:lineRule="exact"/>
              <w:ind w:right="22"/>
              <w:rPr>
                <w:sz w:val="24"/>
              </w:rPr>
            </w:pPr>
            <w:r>
              <w:rPr>
                <w:sz w:val="24"/>
              </w:rPr>
              <w:t>18–</w:t>
            </w:r>
            <w:r>
              <w:rPr>
                <w:spacing w:val="-5"/>
                <w:sz w:val="24"/>
              </w:rPr>
              <w:t>25</w:t>
            </w:r>
          </w:p>
        </w:tc>
        <w:tc>
          <w:tcPr>
            <w:tcW w:w="1771" w:type="dxa"/>
            <w:tcBorders>
              <w:top w:val="single" w:sz="4" w:space="0" w:color="7E7E7E"/>
              <w:bottom w:val="single" w:sz="4" w:space="0" w:color="7E7E7E"/>
            </w:tcBorders>
          </w:tcPr>
          <w:p w:rsidR="00E632C8" w:rsidRDefault="00D21170">
            <w:pPr>
              <w:pStyle w:val="TableParagraph"/>
              <w:spacing w:line="276" w:lineRule="exact"/>
              <w:ind w:left="124"/>
              <w:rPr>
                <w:sz w:val="24"/>
              </w:rPr>
            </w:pPr>
            <w:r>
              <w:rPr>
                <w:spacing w:val="-5"/>
                <w:sz w:val="24"/>
              </w:rPr>
              <w:t>34</w:t>
            </w:r>
          </w:p>
        </w:tc>
        <w:tc>
          <w:tcPr>
            <w:tcW w:w="2178" w:type="dxa"/>
            <w:tcBorders>
              <w:top w:val="single" w:sz="4" w:space="0" w:color="7E7E7E"/>
              <w:bottom w:val="single" w:sz="4" w:space="0" w:color="7E7E7E"/>
            </w:tcBorders>
          </w:tcPr>
          <w:p w:rsidR="00E632C8" w:rsidRDefault="00D21170">
            <w:pPr>
              <w:pStyle w:val="TableParagraph"/>
              <w:spacing w:line="276" w:lineRule="exact"/>
              <w:ind w:left="5" w:right="22"/>
              <w:rPr>
                <w:sz w:val="24"/>
              </w:rPr>
            </w:pPr>
            <w:r>
              <w:rPr>
                <w:spacing w:val="-4"/>
                <w:sz w:val="24"/>
              </w:rPr>
              <w:t>22.7</w:t>
            </w:r>
          </w:p>
        </w:tc>
      </w:tr>
      <w:tr w:rsidR="00E632C8">
        <w:trPr>
          <w:trHeight w:val="316"/>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2"/>
              <w:rPr>
                <w:sz w:val="24"/>
              </w:rPr>
            </w:pPr>
            <w:r>
              <w:rPr>
                <w:sz w:val="24"/>
              </w:rPr>
              <w:t>26–</w:t>
            </w:r>
            <w:r>
              <w:rPr>
                <w:spacing w:val="-5"/>
                <w:sz w:val="24"/>
              </w:rPr>
              <w:t>35</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46</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4"/>
                <w:sz w:val="24"/>
              </w:rPr>
              <w:t>30.7</w:t>
            </w:r>
          </w:p>
        </w:tc>
      </w:tr>
      <w:tr w:rsidR="00E632C8">
        <w:trPr>
          <w:trHeight w:val="318"/>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2"/>
              <w:rPr>
                <w:sz w:val="24"/>
              </w:rPr>
            </w:pPr>
            <w:r>
              <w:rPr>
                <w:sz w:val="24"/>
              </w:rPr>
              <w:t>36–</w:t>
            </w:r>
            <w:r>
              <w:rPr>
                <w:spacing w:val="-5"/>
                <w:sz w:val="24"/>
              </w:rPr>
              <w:t>45</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38</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4"/>
                <w:sz w:val="24"/>
              </w:rPr>
              <w:t>25.3</w:t>
            </w:r>
          </w:p>
        </w:tc>
      </w:tr>
      <w:tr w:rsidR="00E632C8">
        <w:trPr>
          <w:trHeight w:val="316"/>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2"/>
              <w:rPr>
                <w:sz w:val="24"/>
              </w:rPr>
            </w:pPr>
            <w:r>
              <w:rPr>
                <w:sz w:val="24"/>
              </w:rPr>
              <w:t>46–</w:t>
            </w:r>
            <w:r>
              <w:rPr>
                <w:spacing w:val="-5"/>
                <w:sz w:val="24"/>
              </w:rPr>
              <w:t>55</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22</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4"/>
                <w:sz w:val="24"/>
              </w:rPr>
              <w:t>14.7</w:t>
            </w:r>
          </w:p>
        </w:tc>
      </w:tr>
      <w:tr w:rsidR="00E632C8">
        <w:trPr>
          <w:trHeight w:val="316"/>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4"/>
              <w:rPr>
                <w:sz w:val="24"/>
              </w:rPr>
            </w:pPr>
            <w:r>
              <w:rPr>
                <w:sz w:val="24"/>
              </w:rPr>
              <w:t>Above</w:t>
            </w:r>
            <w:r>
              <w:rPr>
                <w:spacing w:val="-2"/>
                <w:sz w:val="24"/>
              </w:rPr>
              <w:t xml:space="preserve"> </w:t>
            </w:r>
            <w:r>
              <w:rPr>
                <w:spacing w:val="-5"/>
                <w:sz w:val="24"/>
              </w:rPr>
              <w:t>55</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10</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5"/>
                <w:sz w:val="24"/>
              </w:rPr>
              <w:t>6.7</w:t>
            </w:r>
          </w:p>
        </w:tc>
      </w:tr>
      <w:tr w:rsidR="00E632C8">
        <w:trPr>
          <w:trHeight w:val="318"/>
        </w:trPr>
        <w:tc>
          <w:tcPr>
            <w:tcW w:w="2787" w:type="dxa"/>
            <w:tcBorders>
              <w:top w:val="single" w:sz="4" w:space="0" w:color="7E7E7E"/>
              <w:bottom w:val="single" w:sz="4" w:space="0" w:color="7E7E7E"/>
            </w:tcBorders>
          </w:tcPr>
          <w:p w:rsidR="00E632C8" w:rsidRDefault="00D21170">
            <w:pPr>
              <w:pStyle w:val="TableParagraph"/>
              <w:spacing w:before="1" w:line="240" w:lineRule="auto"/>
              <w:ind w:left="122"/>
              <w:jc w:val="left"/>
              <w:rPr>
                <w:sz w:val="24"/>
              </w:rPr>
            </w:pPr>
            <w:r>
              <w:rPr>
                <w:spacing w:val="-2"/>
                <w:sz w:val="24"/>
              </w:rPr>
              <w:t>Occupation</w:t>
            </w:r>
          </w:p>
        </w:tc>
        <w:tc>
          <w:tcPr>
            <w:tcW w:w="3279" w:type="dxa"/>
            <w:tcBorders>
              <w:top w:val="single" w:sz="4" w:space="0" w:color="7E7E7E"/>
              <w:bottom w:val="single" w:sz="4" w:space="0" w:color="7E7E7E"/>
            </w:tcBorders>
          </w:tcPr>
          <w:p w:rsidR="00E632C8" w:rsidRDefault="00D21170">
            <w:pPr>
              <w:pStyle w:val="TableParagraph"/>
              <w:spacing w:before="1" w:line="240" w:lineRule="auto"/>
              <w:ind w:right="22"/>
              <w:rPr>
                <w:sz w:val="24"/>
              </w:rPr>
            </w:pPr>
            <w:r>
              <w:rPr>
                <w:sz w:val="24"/>
              </w:rPr>
              <w:t>Salaried</w:t>
            </w:r>
            <w:r>
              <w:rPr>
                <w:spacing w:val="-1"/>
                <w:sz w:val="24"/>
              </w:rPr>
              <w:t xml:space="preserve"> </w:t>
            </w:r>
            <w:r>
              <w:rPr>
                <w:sz w:val="24"/>
              </w:rPr>
              <w:t>/</w:t>
            </w:r>
            <w:r>
              <w:rPr>
                <w:spacing w:val="-1"/>
                <w:sz w:val="24"/>
              </w:rPr>
              <w:t xml:space="preserve"> </w:t>
            </w:r>
            <w:r>
              <w:rPr>
                <w:sz w:val="24"/>
              </w:rPr>
              <w:t>Govt.</w:t>
            </w:r>
            <w:r>
              <w:rPr>
                <w:spacing w:val="-1"/>
                <w:sz w:val="24"/>
              </w:rPr>
              <w:t xml:space="preserve"> </w:t>
            </w:r>
            <w:r>
              <w:rPr>
                <w:spacing w:val="-2"/>
                <w:sz w:val="24"/>
              </w:rPr>
              <w:t>employee</w:t>
            </w:r>
          </w:p>
        </w:tc>
        <w:tc>
          <w:tcPr>
            <w:tcW w:w="1771" w:type="dxa"/>
            <w:tcBorders>
              <w:top w:val="single" w:sz="4" w:space="0" w:color="7E7E7E"/>
              <w:bottom w:val="single" w:sz="4" w:space="0" w:color="7E7E7E"/>
            </w:tcBorders>
          </w:tcPr>
          <w:p w:rsidR="00E632C8" w:rsidRDefault="00D21170">
            <w:pPr>
              <w:pStyle w:val="TableParagraph"/>
              <w:spacing w:before="1" w:line="240" w:lineRule="auto"/>
              <w:ind w:left="124"/>
              <w:rPr>
                <w:sz w:val="24"/>
              </w:rPr>
            </w:pPr>
            <w:r>
              <w:rPr>
                <w:spacing w:val="-5"/>
                <w:sz w:val="24"/>
              </w:rPr>
              <w:t>42</w:t>
            </w:r>
          </w:p>
        </w:tc>
        <w:tc>
          <w:tcPr>
            <w:tcW w:w="2178" w:type="dxa"/>
            <w:tcBorders>
              <w:top w:val="single" w:sz="4" w:space="0" w:color="7E7E7E"/>
              <w:bottom w:val="single" w:sz="4" w:space="0" w:color="7E7E7E"/>
            </w:tcBorders>
          </w:tcPr>
          <w:p w:rsidR="00E632C8" w:rsidRDefault="00D21170">
            <w:pPr>
              <w:pStyle w:val="TableParagraph"/>
              <w:spacing w:before="1" w:line="240" w:lineRule="auto"/>
              <w:ind w:left="5" w:right="22"/>
              <w:rPr>
                <w:sz w:val="24"/>
              </w:rPr>
            </w:pPr>
            <w:r>
              <w:rPr>
                <w:spacing w:val="-4"/>
                <w:sz w:val="24"/>
              </w:rPr>
              <w:t>28.0</w:t>
            </w:r>
          </w:p>
        </w:tc>
      </w:tr>
      <w:tr w:rsidR="00E632C8">
        <w:trPr>
          <w:trHeight w:val="316"/>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2"/>
              <w:rPr>
                <w:sz w:val="24"/>
              </w:rPr>
            </w:pPr>
            <w:r>
              <w:rPr>
                <w:sz w:val="24"/>
              </w:rPr>
              <w:t>Business</w:t>
            </w:r>
            <w:r>
              <w:rPr>
                <w:spacing w:val="-5"/>
                <w:sz w:val="24"/>
              </w:rPr>
              <w:t xml:space="preserve"> </w:t>
            </w:r>
            <w:r>
              <w:rPr>
                <w:sz w:val="24"/>
              </w:rPr>
              <w:t>/</w:t>
            </w:r>
            <w:r>
              <w:rPr>
                <w:spacing w:val="-4"/>
                <w:sz w:val="24"/>
              </w:rPr>
              <w:t xml:space="preserve"> </w:t>
            </w:r>
            <w:r>
              <w:rPr>
                <w:sz w:val="24"/>
              </w:rPr>
              <w:t>Self-</w:t>
            </w:r>
            <w:r>
              <w:rPr>
                <w:spacing w:val="-2"/>
                <w:sz w:val="24"/>
              </w:rPr>
              <w:t>employed</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36</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4"/>
                <w:sz w:val="24"/>
              </w:rPr>
              <w:t>24.0</w:t>
            </w:r>
          </w:p>
        </w:tc>
      </w:tr>
      <w:tr w:rsidR="00E632C8">
        <w:trPr>
          <w:trHeight w:val="318"/>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2"/>
              <w:rPr>
                <w:sz w:val="24"/>
              </w:rPr>
            </w:pPr>
            <w:r>
              <w:rPr>
                <w:spacing w:val="-2"/>
                <w:sz w:val="24"/>
              </w:rPr>
              <w:t>Student</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28</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4"/>
                <w:sz w:val="24"/>
              </w:rPr>
              <w:t>18.7</w:t>
            </w:r>
          </w:p>
        </w:tc>
      </w:tr>
      <w:tr w:rsidR="00E632C8">
        <w:trPr>
          <w:trHeight w:val="316"/>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7"/>
              <w:rPr>
                <w:sz w:val="24"/>
              </w:rPr>
            </w:pPr>
            <w:r>
              <w:rPr>
                <w:spacing w:val="-2"/>
                <w:sz w:val="24"/>
              </w:rPr>
              <w:t>Farmer</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24</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4"/>
                <w:sz w:val="24"/>
              </w:rPr>
              <w:t>16.0</w:t>
            </w:r>
          </w:p>
        </w:tc>
      </w:tr>
      <w:tr w:rsidR="00E632C8">
        <w:trPr>
          <w:trHeight w:val="316"/>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4"/>
              <w:rPr>
                <w:sz w:val="24"/>
              </w:rPr>
            </w:pPr>
            <w:r>
              <w:rPr>
                <w:spacing w:val="-2"/>
                <w:sz w:val="24"/>
              </w:rPr>
              <w:t>Other</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20</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4"/>
                <w:sz w:val="24"/>
              </w:rPr>
              <w:t>13.3</w:t>
            </w:r>
          </w:p>
        </w:tc>
      </w:tr>
      <w:tr w:rsidR="00E632C8">
        <w:trPr>
          <w:trHeight w:val="319"/>
        </w:trPr>
        <w:tc>
          <w:tcPr>
            <w:tcW w:w="2787" w:type="dxa"/>
            <w:tcBorders>
              <w:top w:val="single" w:sz="4" w:space="0" w:color="7E7E7E"/>
              <w:bottom w:val="single" w:sz="4" w:space="0" w:color="7E7E7E"/>
            </w:tcBorders>
          </w:tcPr>
          <w:p w:rsidR="00E632C8" w:rsidRDefault="00D21170">
            <w:pPr>
              <w:pStyle w:val="TableParagraph"/>
              <w:spacing w:before="1" w:line="240" w:lineRule="auto"/>
              <w:ind w:left="122"/>
              <w:jc w:val="left"/>
              <w:rPr>
                <w:sz w:val="24"/>
              </w:rPr>
            </w:pPr>
            <w:r>
              <w:rPr>
                <w:spacing w:val="-2"/>
                <w:sz w:val="24"/>
              </w:rPr>
              <w:t>Education</w:t>
            </w:r>
          </w:p>
        </w:tc>
        <w:tc>
          <w:tcPr>
            <w:tcW w:w="3279" w:type="dxa"/>
            <w:tcBorders>
              <w:top w:val="single" w:sz="4" w:space="0" w:color="7E7E7E"/>
              <w:bottom w:val="single" w:sz="4" w:space="0" w:color="7E7E7E"/>
            </w:tcBorders>
          </w:tcPr>
          <w:p w:rsidR="00E632C8" w:rsidRDefault="00D21170">
            <w:pPr>
              <w:pStyle w:val="TableParagraph"/>
              <w:spacing w:before="1" w:line="240" w:lineRule="auto"/>
              <w:ind w:right="24"/>
              <w:rPr>
                <w:sz w:val="24"/>
              </w:rPr>
            </w:pPr>
            <w:r>
              <w:rPr>
                <w:sz w:val="24"/>
              </w:rPr>
              <w:t>Up to higher</w:t>
            </w:r>
            <w:r>
              <w:rPr>
                <w:spacing w:val="-2"/>
                <w:sz w:val="24"/>
              </w:rPr>
              <w:t xml:space="preserve"> secondary</w:t>
            </w:r>
          </w:p>
        </w:tc>
        <w:tc>
          <w:tcPr>
            <w:tcW w:w="1771" w:type="dxa"/>
            <w:tcBorders>
              <w:top w:val="single" w:sz="4" w:space="0" w:color="7E7E7E"/>
              <w:bottom w:val="single" w:sz="4" w:space="0" w:color="7E7E7E"/>
            </w:tcBorders>
          </w:tcPr>
          <w:p w:rsidR="00E632C8" w:rsidRDefault="00D21170">
            <w:pPr>
              <w:pStyle w:val="TableParagraph"/>
              <w:spacing w:before="1" w:line="240" w:lineRule="auto"/>
              <w:ind w:left="124"/>
              <w:rPr>
                <w:sz w:val="24"/>
              </w:rPr>
            </w:pPr>
            <w:r>
              <w:rPr>
                <w:spacing w:val="-5"/>
                <w:sz w:val="24"/>
              </w:rPr>
              <w:t>26</w:t>
            </w:r>
          </w:p>
        </w:tc>
        <w:tc>
          <w:tcPr>
            <w:tcW w:w="2178" w:type="dxa"/>
            <w:tcBorders>
              <w:top w:val="single" w:sz="4" w:space="0" w:color="7E7E7E"/>
              <w:bottom w:val="single" w:sz="4" w:space="0" w:color="7E7E7E"/>
            </w:tcBorders>
          </w:tcPr>
          <w:p w:rsidR="00E632C8" w:rsidRDefault="00D21170">
            <w:pPr>
              <w:pStyle w:val="TableParagraph"/>
              <w:spacing w:before="1" w:line="240" w:lineRule="auto"/>
              <w:ind w:left="5" w:right="22"/>
              <w:rPr>
                <w:sz w:val="24"/>
              </w:rPr>
            </w:pPr>
            <w:r>
              <w:rPr>
                <w:spacing w:val="-4"/>
                <w:sz w:val="24"/>
              </w:rPr>
              <w:t>17.3</w:t>
            </w:r>
          </w:p>
        </w:tc>
      </w:tr>
      <w:tr w:rsidR="00E632C8">
        <w:trPr>
          <w:trHeight w:val="316"/>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4"/>
              <w:rPr>
                <w:sz w:val="24"/>
              </w:rPr>
            </w:pPr>
            <w:r>
              <w:rPr>
                <w:spacing w:val="-2"/>
                <w:sz w:val="24"/>
              </w:rPr>
              <w:t>Graduate</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64</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4"/>
                <w:sz w:val="24"/>
              </w:rPr>
              <w:t>42.7</w:t>
            </w:r>
          </w:p>
        </w:tc>
      </w:tr>
      <w:tr w:rsidR="00E632C8">
        <w:trPr>
          <w:trHeight w:val="318"/>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7"/>
              <w:rPr>
                <w:sz w:val="24"/>
              </w:rPr>
            </w:pPr>
            <w:r>
              <w:rPr>
                <w:spacing w:val="-2"/>
                <w:sz w:val="24"/>
              </w:rPr>
              <w:t>Postgraduate</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46</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4"/>
                <w:sz w:val="24"/>
              </w:rPr>
              <w:t>30.7</w:t>
            </w:r>
          </w:p>
        </w:tc>
      </w:tr>
      <w:tr w:rsidR="00E632C8">
        <w:trPr>
          <w:trHeight w:val="316"/>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3"/>
              <w:rPr>
                <w:sz w:val="24"/>
              </w:rPr>
            </w:pPr>
            <w:r>
              <w:rPr>
                <w:spacing w:val="-2"/>
                <w:sz w:val="24"/>
              </w:rPr>
              <w:t>Professional</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14</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5"/>
                <w:sz w:val="24"/>
              </w:rPr>
              <w:t>9.3</w:t>
            </w:r>
          </w:p>
        </w:tc>
      </w:tr>
      <w:tr w:rsidR="00E632C8">
        <w:trPr>
          <w:trHeight w:val="635"/>
        </w:trPr>
        <w:tc>
          <w:tcPr>
            <w:tcW w:w="2787" w:type="dxa"/>
            <w:tcBorders>
              <w:top w:val="single" w:sz="4" w:space="0" w:color="7E7E7E"/>
              <w:bottom w:val="single" w:sz="4" w:space="0" w:color="7E7E7E"/>
            </w:tcBorders>
          </w:tcPr>
          <w:p w:rsidR="00E632C8" w:rsidRDefault="00D21170">
            <w:pPr>
              <w:pStyle w:val="TableParagraph"/>
              <w:ind w:left="122"/>
              <w:jc w:val="left"/>
              <w:rPr>
                <w:sz w:val="24"/>
              </w:rPr>
            </w:pPr>
            <w:r>
              <w:rPr>
                <w:sz w:val="24"/>
              </w:rPr>
              <w:t>Frequency</w:t>
            </w:r>
            <w:r>
              <w:rPr>
                <w:spacing w:val="-3"/>
                <w:sz w:val="24"/>
              </w:rPr>
              <w:t xml:space="preserve"> </w:t>
            </w:r>
            <w:r>
              <w:rPr>
                <w:sz w:val="24"/>
              </w:rPr>
              <w:t>of</w:t>
            </w:r>
            <w:r>
              <w:rPr>
                <w:spacing w:val="-2"/>
                <w:sz w:val="24"/>
              </w:rPr>
              <w:t xml:space="preserve"> </w:t>
            </w:r>
            <w:r>
              <w:rPr>
                <w:sz w:val="24"/>
              </w:rPr>
              <w:t>e-</w:t>
            </w:r>
            <w:r>
              <w:rPr>
                <w:spacing w:val="-2"/>
                <w:sz w:val="24"/>
              </w:rPr>
              <w:t>banking</w:t>
            </w:r>
          </w:p>
          <w:p w:rsidR="00E632C8" w:rsidRDefault="00D21170">
            <w:pPr>
              <w:pStyle w:val="TableParagraph"/>
              <w:spacing w:before="41" w:line="240" w:lineRule="auto"/>
              <w:ind w:left="122"/>
              <w:jc w:val="left"/>
              <w:rPr>
                <w:sz w:val="24"/>
              </w:rPr>
            </w:pPr>
            <w:r>
              <w:rPr>
                <w:spacing w:val="-5"/>
                <w:sz w:val="24"/>
              </w:rPr>
              <w:t>use</w:t>
            </w:r>
          </w:p>
        </w:tc>
        <w:tc>
          <w:tcPr>
            <w:tcW w:w="3279" w:type="dxa"/>
            <w:tcBorders>
              <w:top w:val="single" w:sz="4" w:space="0" w:color="7E7E7E"/>
              <w:bottom w:val="single" w:sz="4" w:space="0" w:color="7E7E7E"/>
            </w:tcBorders>
          </w:tcPr>
          <w:p w:rsidR="00E632C8" w:rsidRDefault="00D21170">
            <w:pPr>
              <w:pStyle w:val="TableParagraph"/>
              <w:ind w:right="22"/>
              <w:rPr>
                <w:sz w:val="24"/>
              </w:rPr>
            </w:pPr>
            <w:r>
              <w:rPr>
                <w:spacing w:val="-2"/>
                <w:sz w:val="24"/>
              </w:rPr>
              <w:t>Daily</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40</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4"/>
                <w:sz w:val="24"/>
              </w:rPr>
              <w:t>26.7</w:t>
            </w:r>
          </w:p>
        </w:tc>
      </w:tr>
      <w:tr w:rsidR="00E632C8">
        <w:trPr>
          <w:trHeight w:val="316"/>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8"/>
              <w:rPr>
                <w:sz w:val="24"/>
              </w:rPr>
            </w:pPr>
            <w:r>
              <w:rPr>
                <w:spacing w:val="-2"/>
                <w:sz w:val="24"/>
              </w:rPr>
              <w:t>Weekly</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58</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4"/>
                <w:sz w:val="24"/>
              </w:rPr>
              <w:t>38.7</w:t>
            </w:r>
          </w:p>
        </w:tc>
      </w:tr>
      <w:tr w:rsidR="00E632C8">
        <w:trPr>
          <w:trHeight w:val="316"/>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ind w:right="25"/>
              <w:rPr>
                <w:sz w:val="24"/>
              </w:rPr>
            </w:pPr>
            <w:r>
              <w:rPr>
                <w:spacing w:val="-2"/>
                <w:sz w:val="24"/>
              </w:rPr>
              <w:t>Monthly</w:t>
            </w:r>
          </w:p>
        </w:tc>
        <w:tc>
          <w:tcPr>
            <w:tcW w:w="1771" w:type="dxa"/>
            <w:tcBorders>
              <w:top w:val="single" w:sz="4" w:space="0" w:color="7E7E7E"/>
              <w:bottom w:val="single" w:sz="4" w:space="0" w:color="7E7E7E"/>
            </w:tcBorders>
          </w:tcPr>
          <w:p w:rsidR="00E632C8" w:rsidRDefault="00D21170">
            <w:pPr>
              <w:pStyle w:val="TableParagraph"/>
              <w:ind w:left="124"/>
              <w:rPr>
                <w:sz w:val="24"/>
              </w:rPr>
            </w:pPr>
            <w:r>
              <w:rPr>
                <w:spacing w:val="-5"/>
                <w:sz w:val="24"/>
              </w:rPr>
              <w:t>38</w:t>
            </w:r>
          </w:p>
        </w:tc>
        <w:tc>
          <w:tcPr>
            <w:tcW w:w="2178" w:type="dxa"/>
            <w:tcBorders>
              <w:top w:val="single" w:sz="4" w:space="0" w:color="7E7E7E"/>
              <w:bottom w:val="single" w:sz="4" w:space="0" w:color="7E7E7E"/>
            </w:tcBorders>
          </w:tcPr>
          <w:p w:rsidR="00E632C8" w:rsidRDefault="00D21170">
            <w:pPr>
              <w:pStyle w:val="TableParagraph"/>
              <w:ind w:left="5" w:right="22"/>
              <w:rPr>
                <w:sz w:val="24"/>
              </w:rPr>
            </w:pPr>
            <w:r>
              <w:rPr>
                <w:spacing w:val="-4"/>
                <w:sz w:val="24"/>
              </w:rPr>
              <w:t>25.3</w:t>
            </w:r>
          </w:p>
        </w:tc>
      </w:tr>
      <w:tr w:rsidR="00E632C8">
        <w:trPr>
          <w:trHeight w:val="318"/>
        </w:trPr>
        <w:tc>
          <w:tcPr>
            <w:tcW w:w="2787" w:type="dxa"/>
            <w:tcBorders>
              <w:top w:val="single" w:sz="4" w:space="0" w:color="7E7E7E"/>
              <w:bottom w:val="single" w:sz="4" w:space="0" w:color="7E7E7E"/>
            </w:tcBorders>
          </w:tcPr>
          <w:p w:rsidR="00E632C8" w:rsidRDefault="00E632C8">
            <w:pPr>
              <w:pStyle w:val="TableParagraph"/>
              <w:spacing w:line="240" w:lineRule="auto"/>
              <w:jc w:val="left"/>
              <w:rPr>
                <w:sz w:val="24"/>
              </w:rPr>
            </w:pPr>
          </w:p>
        </w:tc>
        <w:tc>
          <w:tcPr>
            <w:tcW w:w="3279" w:type="dxa"/>
            <w:tcBorders>
              <w:top w:val="single" w:sz="4" w:space="0" w:color="7E7E7E"/>
              <w:bottom w:val="single" w:sz="4" w:space="0" w:color="7E7E7E"/>
            </w:tcBorders>
          </w:tcPr>
          <w:p w:rsidR="00E632C8" w:rsidRDefault="00D21170">
            <w:pPr>
              <w:pStyle w:val="TableParagraph"/>
              <w:spacing w:before="1" w:line="240" w:lineRule="auto"/>
              <w:ind w:right="28"/>
              <w:rPr>
                <w:sz w:val="24"/>
              </w:rPr>
            </w:pPr>
            <w:r>
              <w:rPr>
                <w:spacing w:val="-2"/>
                <w:sz w:val="24"/>
              </w:rPr>
              <w:t>Rarely</w:t>
            </w:r>
          </w:p>
        </w:tc>
        <w:tc>
          <w:tcPr>
            <w:tcW w:w="1771" w:type="dxa"/>
            <w:tcBorders>
              <w:top w:val="single" w:sz="4" w:space="0" w:color="7E7E7E"/>
              <w:bottom w:val="single" w:sz="4" w:space="0" w:color="7E7E7E"/>
            </w:tcBorders>
          </w:tcPr>
          <w:p w:rsidR="00E632C8" w:rsidRDefault="00D21170">
            <w:pPr>
              <w:pStyle w:val="TableParagraph"/>
              <w:spacing w:before="1" w:line="240" w:lineRule="auto"/>
              <w:ind w:left="124"/>
              <w:rPr>
                <w:sz w:val="24"/>
              </w:rPr>
            </w:pPr>
            <w:r>
              <w:rPr>
                <w:spacing w:val="-5"/>
                <w:sz w:val="24"/>
              </w:rPr>
              <w:t>14</w:t>
            </w:r>
          </w:p>
        </w:tc>
        <w:tc>
          <w:tcPr>
            <w:tcW w:w="2178" w:type="dxa"/>
            <w:tcBorders>
              <w:top w:val="single" w:sz="4" w:space="0" w:color="7E7E7E"/>
              <w:bottom w:val="single" w:sz="4" w:space="0" w:color="7E7E7E"/>
            </w:tcBorders>
          </w:tcPr>
          <w:p w:rsidR="00E632C8" w:rsidRDefault="00D21170">
            <w:pPr>
              <w:pStyle w:val="TableParagraph"/>
              <w:spacing w:before="1" w:line="240" w:lineRule="auto"/>
              <w:ind w:left="5" w:right="22"/>
              <w:rPr>
                <w:sz w:val="24"/>
              </w:rPr>
            </w:pPr>
            <w:r>
              <w:rPr>
                <w:spacing w:val="-5"/>
                <w:sz w:val="24"/>
              </w:rPr>
              <w:t>9.3</w:t>
            </w:r>
          </w:p>
        </w:tc>
      </w:tr>
    </w:tbl>
    <w:p w:rsidR="00E632C8" w:rsidRDefault="00D21170">
      <w:pPr>
        <w:spacing w:before="4"/>
        <w:ind w:left="360"/>
        <w:jc w:val="both"/>
        <w:rPr>
          <w:i/>
          <w:sz w:val="24"/>
        </w:rPr>
      </w:pPr>
      <w:r>
        <w:rPr>
          <w:i/>
          <w:sz w:val="24"/>
        </w:rPr>
        <w:t>Source:</w:t>
      </w:r>
      <w:r>
        <w:rPr>
          <w:i/>
          <w:spacing w:val="-1"/>
          <w:sz w:val="24"/>
        </w:rPr>
        <w:t xml:space="preserve"> </w:t>
      </w:r>
      <w:r>
        <w:rPr>
          <w:i/>
          <w:sz w:val="24"/>
        </w:rPr>
        <w:t>Primary</w:t>
      </w:r>
      <w:r>
        <w:rPr>
          <w:i/>
          <w:spacing w:val="-1"/>
          <w:sz w:val="24"/>
        </w:rPr>
        <w:t xml:space="preserve"> </w:t>
      </w:r>
      <w:r>
        <w:rPr>
          <w:i/>
          <w:sz w:val="24"/>
        </w:rPr>
        <w:t>survey data,</w:t>
      </w:r>
      <w:r>
        <w:rPr>
          <w:i/>
          <w:spacing w:val="-1"/>
          <w:sz w:val="24"/>
        </w:rPr>
        <w:t xml:space="preserve"> </w:t>
      </w:r>
      <w:r>
        <w:rPr>
          <w:i/>
          <w:sz w:val="24"/>
        </w:rPr>
        <w:t>computed</w:t>
      </w:r>
      <w:r>
        <w:rPr>
          <w:i/>
          <w:spacing w:val="-1"/>
          <w:sz w:val="24"/>
        </w:rPr>
        <w:t xml:space="preserve"> </w:t>
      </w:r>
      <w:r>
        <w:rPr>
          <w:i/>
          <w:sz w:val="24"/>
        </w:rPr>
        <w:t>using</w:t>
      </w:r>
      <w:r>
        <w:rPr>
          <w:i/>
          <w:spacing w:val="-1"/>
          <w:sz w:val="24"/>
        </w:rPr>
        <w:t xml:space="preserve"> </w:t>
      </w:r>
      <w:r>
        <w:rPr>
          <w:i/>
          <w:sz w:val="24"/>
        </w:rPr>
        <w:t>SPSS</w:t>
      </w:r>
      <w:r>
        <w:rPr>
          <w:i/>
          <w:spacing w:val="-1"/>
          <w:sz w:val="24"/>
        </w:rPr>
        <w:t xml:space="preserve"> </w:t>
      </w:r>
      <w:r>
        <w:rPr>
          <w:i/>
          <w:sz w:val="24"/>
        </w:rPr>
        <w:t>26</w:t>
      </w:r>
      <w:r>
        <w:rPr>
          <w:i/>
          <w:spacing w:val="-1"/>
          <w:sz w:val="24"/>
        </w:rPr>
        <w:t xml:space="preserve"> </w:t>
      </w:r>
      <w:r>
        <w:rPr>
          <w:i/>
          <w:sz w:val="24"/>
        </w:rPr>
        <w:t>(n</w:t>
      </w:r>
      <w:r>
        <w:rPr>
          <w:i/>
          <w:spacing w:val="-1"/>
          <w:sz w:val="24"/>
        </w:rPr>
        <w:t xml:space="preserve"> </w:t>
      </w:r>
      <w:r>
        <w:rPr>
          <w:i/>
          <w:sz w:val="24"/>
        </w:rPr>
        <w:t>=</w:t>
      </w:r>
      <w:r>
        <w:rPr>
          <w:i/>
          <w:spacing w:val="1"/>
          <w:sz w:val="24"/>
        </w:rPr>
        <w:t xml:space="preserve"> </w:t>
      </w:r>
      <w:r>
        <w:rPr>
          <w:i/>
          <w:spacing w:val="-2"/>
          <w:sz w:val="24"/>
        </w:rPr>
        <w:t>150).</w:t>
      </w:r>
    </w:p>
    <w:p w:rsidR="00E632C8" w:rsidRDefault="00D21170">
      <w:pPr>
        <w:pStyle w:val="Heading1"/>
        <w:numPr>
          <w:ilvl w:val="1"/>
          <w:numId w:val="2"/>
        </w:numPr>
        <w:tabs>
          <w:tab w:val="left" w:pos="720"/>
        </w:tabs>
        <w:spacing w:before="41"/>
        <w:jc w:val="both"/>
      </w:pPr>
      <w:r>
        <w:t>Reliability</w:t>
      </w:r>
      <w:r>
        <w:rPr>
          <w:spacing w:val="-3"/>
        </w:rPr>
        <w:t xml:space="preserve"> </w:t>
      </w:r>
      <w:r>
        <w:t>of</w:t>
      </w:r>
      <w:r>
        <w:rPr>
          <w:spacing w:val="-3"/>
        </w:rPr>
        <w:t xml:space="preserve"> </w:t>
      </w:r>
      <w:r>
        <w:t>the</w:t>
      </w:r>
      <w:r>
        <w:rPr>
          <w:spacing w:val="-3"/>
        </w:rPr>
        <w:t xml:space="preserve"> </w:t>
      </w:r>
      <w:r>
        <w:t>Measurement</w:t>
      </w:r>
      <w:r>
        <w:rPr>
          <w:spacing w:val="-2"/>
        </w:rPr>
        <w:t xml:space="preserve"> </w:t>
      </w:r>
      <w:r>
        <w:rPr>
          <w:spacing w:val="-4"/>
        </w:rPr>
        <w:t>Scale</w:t>
      </w:r>
    </w:p>
    <w:p w:rsidR="00E632C8" w:rsidRDefault="00D21170">
      <w:pPr>
        <w:pStyle w:val="BodyText"/>
        <w:spacing w:before="44" w:line="276" w:lineRule="auto"/>
        <w:ind w:right="714"/>
      </w:pPr>
      <w:r>
        <w:t>Before proceeding to hypothesis testing, the internal consistency of each multi-item construct</w:t>
      </w:r>
      <w:r>
        <w:rPr>
          <w:spacing w:val="40"/>
        </w:rPr>
        <w:t xml:space="preserve"> </w:t>
      </w:r>
      <w:r>
        <w:t>was assessed using Cronbach's alpha. As shown in Table 2, all constructs recorded alpha values above the widely accepted threshold of 0.70, and the overall 25-item scale returned an alpha of 0.887, indicating good internal consistency and confirming that t</w:t>
      </w:r>
      <w:r>
        <w:t>he instrument is suitable for further statistical analysis.</w:t>
      </w:r>
    </w:p>
    <w:p w:rsidR="00E632C8" w:rsidRDefault="00E632C8">
      <w:pPr>
        <w:pStyle w:val="BodyText"/>
        <w:spacing w:line="276" w:lineRule="auto"/>
        <w:sectPr w:rsidR="00E632C8">
          <w:pgSz w:w="12240" w:h="15840"/>
          <w:pgMar w:top="2600" w:right="720" w:bottom="1280" w:left="1080" w:header="718" w:footer="1094" w:gutter="0"/>
          <w:cols w:space="720"/>
        </w:sectPr>
      </w:pPr>
    </w:p>
    <w:p w:rsidR="00E632C8" w:rsidRDefault="00D21170">
      <w:pPr>
        <w:pStyle w:val="Heading1"/>
        <w:spacing w:before="272" w:after="49"/>
        <w:ind w:left="360" w:firstLine="0"/>
      </w:pPr>
      <w:r>
        <w:t>Table</w:t>
      </w:r>
      <w:r>
        <w:rPr>
          <w:spacing w:val="-6"/>
        </w:rPr>
        <w:t xml:space="preserve"> </w:t>
      </w:r>
      <w:r>
        <w:t>2.</w:t>
      </w:r>
      <w:r>
        <w:rPr>
          <w:spacing w:val="-4"/>
        </w:rPr>
        <w:t xml:space="preserve"> </w:t>
      </w:r>
      <w:r>
        <w:t>Reliability</w:t>
      </w:r>
      <w:r>
        <w:rPr>
          <w:spacing w:val="-4"/>
        </w:rPr>
        <w:t xml:space="preserve"> </w:t>
      </w:r>
      <w:r>
        <w:t>Statistics</w:t>
      </w:r>
      <w:r>
        <w:rPr>
          <w:spacing w:val="-5"/>
        </w:rPr>
        <w:t xml:space="preserve"> </w:t>
      </w:r>
      <w:r>
        <w:t>(Cronbach's</w:t>
      </w:r>
      <w:r>
        <w:rPr>
          <w:spacing w:val="-4"/>
        </w:rPr>
        <w:t xml:space="preserve"> </w:t>
      </w:r>
      <w:r>
        <w:rPr>
          <w:spacing w:val="-2"/>
        </w:rPr>
        <w:t>Alpha)</w:t>
      </w:r>
    </w:p>
    <w:tbl>
      <w:tblPr>
        <w:tblW w:w="0" w:type="auto"/>
        <w:tblInd w:w="24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3777"/>
        <w:gridCol w:w="2931"/>
        <w:gridCol w:w="3310"/>
      </w:tblGrid>
      <w:tr w:rsidR="00E632C8">
        <w:trPr>
          <w:trHeight w:val="316"/>
        </w:trPr>
        <w:tc>
          <w:tcPr>
            <w:tcW w:w="3777" w:type="dxa"/>
            <w:tcBorders>
              <w:left w:val="nil"/>
              <w:right w:val="nil"/>
            </w:tcBorders>
          </w:tcPr>
          <w:p w:rsidR="00E632C8" w:rsidRDefault="00D21170">
            <w:pPr>
              <w:pStyle w:val="TableParagraph"/>
              <w:ind w:left="1600"/>
              <w:jc w:val="left"/>
              <w:rPr>
                <w:b/>
                <w:sz w:val="24"/>
              </w:rPr>
            </w:pPr>
            <w:r>
              <w:rPr>
                <w:b/>
                <w:spacing w:val="-2"/>
                <w:sz w:val="24"/>
              </w:rPr>
              <w:t>Construct</w:t>
            </w:r>
          </w:p>
        </w:tc>
        <w:tc>
          <w:tcPr>
            <w:tcW w:w="2931" w:type="dxa"/>
            <w:tcBorders>
              <w:left w:val="nil"/>
              <w:right w:val="nil"/>
            </w:tcBorders>
          </w:tcPr>
          <w:p w:rsidR="00E632C8" w:rsidRDefault="00D21170">
            <w:pPr>
              <w:pStyle w:val="TableParagraph"/>
              <w:ind w:left="345" w:right="3"/>
              <w:rPr>
                <w:b/>
                <w:sz w:val="24"/>
              </w:rPr>
            </w:pPr>
            <w:r>
              <w:rPr>
                <w:b/>
                <w:sz w:val="24"/>
              </w:rPr>
              <w:t>No.</w:t>
            </w:r>
            <w:r>
              <w:rPr>
                <w:b/>
                <w:spacing w:val="-2"/>
                <w:sz w:val="24"/>
              </w:rPr>
              <w:t xml:space="preserve"> </w:t>
            </w:r>
            <w:r>
              <w:rPr>
                <w:b/>
                <w:sz w:val="24"/>
              </w:rPr>
              <w:t>of</w:t>
            </w:r>
            <w:r>
              <w:rPr>
                <w:b/>
                <w:spacing w:val="-2"/>
                <w:sz w:val="24"/>
              </w:rPr>
              <w:t xml:space="preserve"> Items</w:t>
            </w:r>
          </w:p>
        </w:tc>
        <w:tc>
          <w:tcPr>
            <w:tcW w:w="3310" w:type="dxa"/>
            <w:tcBorders>
              <w:left w:val="nil"/>
              <w:right w:val="nil"/>
            </w:tcBorders>
          </w:tcPr>
          <w:p w:rsidR="00E632C8" w:rsidRDefault="00D21170">
            <w:pPr>
              <w:pStyle w:val="TableParagraph"/>
              <w:ind w:right="91"/>
              <w:rPr>
                <w:b/>
                <w:sz w:val="24"/>
              </w:rPr>
            </w:pPr>
            <w:r>
              <w:rPr>
                <w:b/>
                <w:sz w:val="24"/>
              </w:rPr>
              <w:t>Cronbach's</w:t>
            </w:r>
            <w:r>
              <w:rPr>
                <w:b/>
                <w:spacing w:val="-6"/>
                <w:sz w:val="24"/>
              </w:rPr>
              <w:t xml:space="preserve"> </w:t>
            </w:r>
            <w:r>
              <w:rPr>
                <w:b/>
                <w:spacing w:val="-2"/>
                <w:sz w:val="24"/>
              </w:rPr>
              <w:t>Alpha</w:t>
            </w:r>
          </w:p>
        </w:tc>
      </w:tr>
      <w:tr w:rsidR="00E632C8">
        <w:trPr>
          <w:trHeight w:val="316"/>
        </w:trPr>
        <w:tc>
          <w:tcPr>
            <w:tcW w:w="3777" w:type="dxa"/>
            <w:tcBorders>
              <w:left w:val="nil"/>
              <w:right w:val="nil"/>
            </w:tcBorders>
          </w:tcPr>
          <w:p w:rsidR="00E632C8" w:rsidRDefault="00D21170">
            <w:pPr>
              <w:pStyle w:val="TableParagraph"/>
              <w:ind w:left="122"/>
              <w:jc w:val="left"/>
              <w:rPr>
                <w:sz w:val="24"/>
              </w:rPr>
            </w:pPr>
            <w:r>
              <w:rPr>
                <w:sz w:val="24"/>
              </w:rPr>
              <w:t>Reliability</w:t>
            </w:r>
            <w:r>
              <w:rPr>
                <w:spacing w:val="-2"/>
                <w:sz w:val="24"/>
              </w:rPr>
              <w:t xml:space="preserve"> (REL)</w:t>
            </w:r>
          </w:p>
        </w:tc>
        <w:tc>
          <w:tcPr>
            <w:tcW w:w="2931" w:type="dxa"/>
            <w:tcBorders>
              <w:left w:val="nil"/>
              <w:right w:val="nil"/>
            </w:tcBorders>
          </w:tcPr>
          <w:p w:rsidR="00E632C8" w:rsidRDefault="00D21170">
            <w:pPr>
              <w:pStyle w:val="TableParagraph"/>
              <w:ind w:left="345"/>
              <w:rPr>
                <w:sz w:val="24"/>
              </w:rPr>
            </w:pPr>
            <w:r>
              <w:rPr>
                <w:spacing w:val="-10"/>
                <w:sz w:val="24"/>
              </w:rPr>
              <w:t>4</w:t>
            </w:r>
          </w:p>
        </w:tc>
        <w:tc>
          <w:tcPr>
            <w:tcW w:w="3310" w:type="dxa"/>
            <w:tcBorders>
              <w:left w:val="nil"/>
              <w:right w:val="nil"/>
            </w:tcBorders>
          </w:tcPr>
          <w:p w:rsidR="00E632C8" w:rsidRDefault="00D21170">
            <w:pPr>
              <w:pStyle w:val="TableParagraph"/>
              <w:ind w:right="91"/>
              <w:rPr>
                <w:sz w:val="24"/>
              </w:rPr>
            </w:pPr>
            <w:r>
              <w:rPr>
                <w:spacing w:val="-2"/>
                <w:sz w:val="24"/>
              </w:rPr>
              <w:t>0.812</w:t>
            </w:r>
          </w:p>
        </w:tc>
      </w:tr>
      <w:tr w:rsidR="00E632C8">
        <w:trPr>
          <w:trHeight w:val="318"/>
        </w:trPr>
        <w:tc>
          <w:tcPr>
            <w:tcW w:w="3777" w:type="dxa"/>
            <w:tcBorders>
              <w:left w:val="nil"/>
              <w:right w:val="nil"/>
            </w:tcBorders>
          </w:tcPr>
          <w:p w:rsidR="00E632C8" w:rsidRDefault="00D21170">
            <w:pPr>
              <w:pStyle w:val="TableParagraph"/>
              <w:spacing w:before="1" w:line="240" w:lineRule="auto"/>
              <w:ind w:left="122"/>
              <w:jc w:val="left"/>
              <w:rPr>
                <w:sz w:val="24"/>
              </w:rPr>
            </w:pPr>
            <w:r>
              <w:rPr>
                <w:sz w:val="24"/>
              </w:rPr>
              <w:t>Responsiveness</w:t>
            </w:r>
            <w:r>
              <w:rPr>
                <w:spacing w:val="-5"/>
                <w:sz w:val="24"/>
              </w:rPr>
              <w:t xml:space="preserve"> </w:t>
            </w:r>
            <w:r>
              <w:rPr>
                <w:spacing w:val="-2"/>
                <w:sz w:val="24"/>
              </w:rPr>
              <w:t>(RES)</w:t>
            </w:r>
          </w:p>
        </w:tc>
        <w:tc>
          <w:tcPr>
            <w:tcW w:w="2931" w:type="dxa"/>
            <w:tcBorders>
              <w:left w:val="nil"/>
              <w:right w:val="nil"/>
            </w:tcBorders>
          </w:tcPr>
          <w:p w:rsidR="00E632C8" w:rsidRDefault="00D21170">
            <w:pPr>
              <w:pStyle w:val="TableParagraph"/>
              <w:spacing w:before="1" w:line="240" w:lineRule="auto"/>
              <w:ind w:left="345"/>
              <w:rPr>
                <w:sz w:val="24"/>
              </w:rPr>
            </w:pPr>
            <w:r>
              <w:rPr>
                <w:spacing w:val="-10"/>
                <w:sz w:val="24"/>
              </w:rPr>
              <w:t>4</w:t>
            </w:r>
          </w:p>
        </w:tc>
        <w:tc>
          <w:tcPr>
            <w:tcW w:w="3310" w:type="dxa"/>
            <w:tcBorders>
              <w:left w:val="nil"/>
              <w:right w:val="nil"/>
            </w:tcBorders>
          </w:tcPr>
          <w:p w:rsidR="00E632C8" w:rsidRDefault="00D21170">
            <w:pPr>
              <w:pStyle w:val="TableParagraph"/>
              <w:spacing w:before="1" w:line="240" w:lineRule="auto"/>
              <w:ind w:right="91"/>
              <w:rPr>
                <w:sz w:val="24"/>
              </w:rPr>
            </w:pPr>
            <w:r>
              <w:rPr>
                <w:spacing w:val="-2"/>
                <w:sz w:val="24"/>
              </w:rPr>
              <w:t>0.784</w:t>
            </w:r>
          </w:p>
        </w:tc>
      </w:tr>
      <w:tr w:rsidR="00E632C8">
        <w:trPr>
          <w:trHeight w:val="316"/>
        </w:trPr>
        <w:tc>
          <w:tcPr>
            <w:tcW w:w="3777" w:type="dxa"/>
            <w:tcBorders>
              <w:left w:val="nil"/>
              <w:right w:val="nil"/>
            </w:tcBorders>
          </w:tcPr>
          <w:p w:rsidR="00E632C8" w:rsidRDefault="00D21170">
            <w:pPr>
              <w:pStyle w:val="TableParagraph"/>
              <w:ind w:left="122"/>
              <w:jc w:val="left"/>
              <w:rPr>
                <w:sz w:val="24"/>
              </w:rPr>
            </w:pPr>
            <w:r>
              <w:rPr>
                <w:sz w:val="24"/>
              </w:rPr>
              <w:t>Assurance</w:t>
            </w:r>
            <w:r>
              <w:rPr>
                <w:spacing w:val="-2"/>
                <w:sz w:val="24"/>
              </w:rPr>
              <w:t xml:space="preserve"> (ASS)</w:t>
            </w:r>
          </w:p>
        </w:tc>
        <w:tc>
          <w:tcPr>
            <w:tcW w:w="2931" w:type="dxa"/>
            <w:tcBorders>
              <w:left w:val="nil"/>
              <w:right w:val="nil"/>
            </w:tcBorders>
          </w:tcPr>
          <w:p w:rsidR="00E632C8" w:rsidRDefault="00D21170">
            <w:pPr>
              <w:pStyle w:val="TableParagraph"/>
              <w:ind w:left="345"/>
              <w:rPr>
                <w:sz w:val="24"/>
              </w:rPr>
            </w:pPr>
            <w:r>
              <w:rPr>
                <w:spacing w:val="-10"/>
                <w:sz w:val="24"/>
              </w:rPr>
              <w:t>4</w:t>
            </w:r>
          </w:p>
        </w:tc>
        <w:tc>
          <w:tcPr>
            <w:tcW w:w="3310" w:type="dxa"/>
            <w:tcBorders>
              <w:left w:val="nil"/>
              <w:right w:val="nil"/>
            </w:tcBorders>
          </w:tcPr>
          <w:p w:rsidR="00E632C8" w:rsidRDefault="00D21170">
            <w:pPr>
              <w:pStyle w:val="TableParagraph"/>
              <w:ind w:right="91"/>
              <w:rPr>
                <w:sz w:val="24"/>
              </w:rPr>
            </w:pPr>
            <w:r>
              <w:rPr>
                <w:spacing w:val="-2"/>
                <w:sz w:val="24"/>
              </w:rPr>
              <w:t>0.799</w:t>
            </w:r>
          </w:p>
        </w:tc>
      </w:tr>
      <w:tr w:rsidR="00E632C8">
        <w:trPr>
          <w:trHeight w:val="318"/>
        </w:trPr>
        <w:tc>
          <w:tcPr>
            <w:tcW w:w="3777" w:type="dxa"/>
            <w:tcBorders>
              <w:left w:val="nil"/>
              <w:right w:val="nil"/>
            </w:tcBorders>
          </w:tcPr>
          <w:p w:rsidR="00E632C8" w:rsidRDefault="00D21170">
            <w:pPr>
              <w:pStyle w:val="TableParagraph"/>
              <w:ind w:left="122"/>
              <w:jc w:val="left"/>
              <w:rPr>
                <w:sz w:val="24"/>
              </w:rPr>
            </w:pPr>
            <w:r>
              <w:rPr>
                <w:sz w:val="24"/>
              </w:rPr>
              <w:t>Empathy</w:t>
            </w:r>
            <w:r>
              <w:rPr>
                <w:spacing w:val="-1"/>
                <w:sz w:val="24"/>
              </w:rPr>
              <w:t xml:space="preserve"> </w:t>
            </w:r>
            <w:r>
              <w:rPr>
                <w:spacing w:val="-2"/>
                <w:sz w:val="24"/>
              </w:rPr>
              <w:t>(EMP)</w:t>
            </w:r>
          </w:p>
        </w:tc>
        <w:tc>
          <w:tcPr>
            <w:tcW w:w="2931" w:type="dxa"/>
            <w:tcBorders>
              <w:left w:val="nil"/>
              <w:right w:val="nil"/>
            </w:tcBorders>
          </w:tcPr>
          <w:p w:rsidR="00E632C8" w:rsidRDefault="00D21170">
            <w:pPr>
              <w:pStyle w:val="TableParagraph"/>
              <w:ind w:left="345"/>
              <w:rPr>
                <w:sz w:val="24"/>
              </w:rPr>
            </w:pPr>
            <w:r>
              <w:rPr>
                <w:spacing w:val="-10"/>
                <w:sz w:val="24"/>
              </w:rPr>
              <w:t>4</w:t>
            </w:r>
          </w:p>
        </w:tc>
        <w:tc>
          <w:tcPr>
            <w:tcW w:w="3310" w:type="dxa"/>
            <w:tcBorders>
              <w:left w:val="nil"/>
              <w:right w:val="nil"/>
            </w:tcBorders>
          </w:tcPr>
          <w:p w:rsidR="00E632C8" w:rsidRDefault="00D21170">
            <w:pPr>
              <w:pStyle w:val="TableParagraph"/>
              <w:ind w:right="91"/>
              <w:rPr>
                <w:sz w:val="24"/>
              </w:rPr>
            </w:pPr>
            <w:r>
              <w:rPr>
                <w:spacing w:val="-2"/>
                <w:sz w:val="24"/>
              </w:rPr>
              <w:t>0.771</w:t>
            </w:r>
          </w:p>
        </w:tc>
      </w:tr>
      <w:tr w:rsidR="00E632C8">
        <w:trPr>
          <w:trHeight w:val="317"/>
        </w:trPr>
        <w:tc>
          <w:tcPr>
            <w:tcW w:w="3777" w:type="dxa"/>
            <w:tcBorders>
              <w:left w:val="nil"/>
              <w:right w:val="nil"/>
            </w:tcBorders>
          </w:tcPr>
          <w:p w:rsidR="00E632C8" w:rsidRDefault="00D21170">
            <w:pPr>
              <w:pStyle w:val="TableParagraph"/>
              <w:spacing w:line="276" w:lineRule="exact"/>
              <w:ind w:left="122"/>
              <w:jc w:val="left"/>
              <w:rPr>
                <w:sz w:val="24"/>
              </w:rPr>
            </w:pPr>
            <w:r>
              <w:rPr>
                <w:sz w:val="24"/>
              </w:rPr>
              <w:t>Tangibility</w:t>
            </w:r>
            <w:r>
              <w:rPr>
                <w:spacing w:val="-2"/>
                <w:sz w:val="24"/>
              </w:rPr>
              <w:t xml:space="preserve"> (TAN)</w:t>
            </w:r>
          </w:p>
        </w:tc>
        <w:tc>
          <w:tcPr>
            <w:tcW w:w="2931" w:type="dxa"/>
            <w:tcBorders>
              <w:left w:val="nil"/>
              <w:right w:val="nil"/>
            </w:tcBorders>
          </w:tcPr>
          <w:p w:rsidR="00E632C8" w:rsidRDefault="00D21170">
            <w:pPr>
              <w:pStyle w:val="TableParagraph"/>
              <w:spacing w:line="276" w:lineRule="exact"/>
              <w:ind w:left="345"/>
              <w:rPr>
                <w:sz w:val="24"/>
              </w:rPr>
            </w:pPr>
            <w:r>
              <w:rPr>
                <w:spacing w:val="-10"/>
                <w:sz w:val="24"/>
              </w:rPr>
              <w:t>4</w:t>
            </w:r>
          </w:p>
        </w:tc>
        <w:tc>
          <w:tcPr>
            <w:tcW w:w="3310" w:type="dxa"/>
            <w:tcBorders>
              <w:left w:val="nil"/>
              <w:right w:val="nil"/>
            </w:tcBorders>
          </w:tcPr>
          <w:p w:rsidR="00E632C8" w:rsidRDefault="00D21170">
            <w:pPr>
              <w:pStyle w:val="TableParagraph"/>
              <w:spacing w:line="276" w:lineRule="exact"/>
              <w:ind w:right="91"/>
              <w:rPr>
                <w:sz w:val="24"/>
              </w:rPr>
            </w:pPr>
            <w:r>
              <w:rPr>
                <w:spacing w:val="-2"/>
                <w:sz w:val="24"/>
              </w:rPr>
              <w:t>0.756</w:t>
            </w:r>
          </w:p>
        </w:tc>
      </w:tr>
      <w:tr w:rsidR="00E632C8">
        <w:trPr>
          <w:trHeight w:val="316"/>
        </w:trPr>
        <w:tc>
          <w:tcPr>
            <w:tcW w:w="3777" w:type="dxa"/>
            <w:tcBorders>
              <w:left w:val="nil"/>
              <w:right w:val="nil"/>
            </w:tcBorders>
          </w:tcPr>
          <w:p w:rsidR="00E632C8" w:rsidRDefault="00D21170">
            <w:pPr>
              <w:pStyle w:val="TableParagraph"/>
              <w:ind w:left="122"/>
              <w:jc w:val="left"/>
              <w:rPr>
                <w:sz w:val="24"/>
              </w:rPr>
            </w:pPr>
            <w:r>
              <w:rPr>
                <w:sz w:val="24"/>
              </w:rPr>
              <w:t>Customer</w:t>
            </w:r>
            <w:r>
              <w:rPr>
                <w:spacing w:val="-2"/>
                <w:sz w:val="24"/>
              </w:rPr>
              <w:t xml:space="preserve"> </w:t>
            </w:r>
            <w:r>
              <w:rPr>
                <w:sz w:val="24"/>
              </w:rPr>
              <w:t>Satisfaction</w:t>
            </w:r>
            <w:r>
              <w:rPr>
                <w:spacing w:val="-1"/>
                <w:sz w:val="24"/>
              </w:rPr>
              <w:t xml:space="preserve"> </w:t>
            </w:r>
            <w:r>
              <w:rPr>
                <w:spacing w:val="-4"/>
                <w:sz w:val="24"/>
              </w:rPr>
              <w:t>(CS)</w:t>
            </w:r>
          </w:p>
        </w:tc>
        <w:tc>
          <w:tcPr>
            <w:tcW w:w="2931" w:type="dxa"/>
            <w:tcBorders>
              <w:left w:val="nil"/>
              <w:right w:val="nil"/>
            </w:tcBorders>
          </w:tcPr>
          <w:p w:rsidR="00E632C8" w:rsidRDefault="00D21170">
            <w:pPr>
              <w:pStyle w:val="TableParagraph"/>
              <w:ind w:left="345"/>
              <w:rPr>
                <w:sz w:val="24"/>
              </w:rPr>
            </w:pPr>
            <w:r>
              <w:rPr>
                <w:spacing w:val="-10"/>
                <w:sz w:val="24"/>
              </w:rPr>
              <w:t>5</w:t>
            </w:r>
          </w:p>
        </w:tc>
        <w:tc>
          <w:tcPr>
            <w:tcW w:w="3310" w:type="dxa"/>
            <w:tcBorders>
              <w:left w:val="nil"/>
              <w:right w:val="nil"/>
            </w:tcBorders>
          </w:tcPr>
          <w:p w:rsidR="00E632C8" w:rsidRDefault="00D21170">
            <w:pPr>
              <w:pStyle w:val="TableParagraph"/>
              <w:ind w:right="91"/>
              <w:rPr>
                <w:sz w:val="24"/>
              </w:rPr>
            </w:pPr>
            <w:r>
              <w:rPr>
                <w:spacing w:val="-2"/>
                <w:sz w:val="24"/>
              </w:rPr>
              <w:t>0.823</w:t>
            </w:r>
          </w:p>
        </w:tc>
      </w:tr>
      <w:tr w:rsidR="00E632C8">
        <w:trPr>
          <w:trHeight w:val="318"/>
        </w:trPr>
        <w:tc>
          <w:tcPr>
            <w:tcW w:w="3777" w:type="dxa"/>
            <w:tcBorders>
              <w:left w:val="nil"/>
              <w:right w:val="nil"/>
            </w:tcBorders>
          </w:tcPr>
          <w:p w:rsidR="00E632C8" w:rsidRDefault="00D21170">
            <w:pPr>
              <w:pStyle w:val="TableParagraph"/>
              <w:spacing w:before="1" w:line="240" w:lineRule="auto"/>
              <w:ind w:left="122"/>
              <w:jc w:val="left"/>
              <w:rPr>
                <w:sz w:val="24"/>
              </w:rPr>
            </w:pPr>
            <w:r>
              <w:rPr>
                <w:sz w:val="24"/>
              </w:rPr>
              <w:t>Overall</w:t>
            </w:r>
            <w:r>
              <w:rPr>
                <w:spacing w:val="-4"/>
                <w:sz w:val="24"/>
              </w:rPr>
              <w:t xml:space="preserve"> </w:t>
            </w:r>
            <w:r>
              <w:rPr>
                <w:spacing w:val="-2"/>
                <w:sz w:val="24"/>
              </w:rPr>
              <w:t>Scale</w:t>
            </w:r>
          </w:p>
        </w:tc>
        <w:tc>
          <w:tcPr>
            <w:tcW w:w="2931" w:type="dxa"/>
            <w:tcBorders>
              <w:left w:val="nil"/>
              <w:right w:val="nil"/>
            </w:tcBorders>
          </w:tcPr>
          <w:p w:rsidR="00E632C8" w:rsidRDefault="00D21170">
            <w:pPr>
              <w:pStyle w:val="TableParagraph"/>
              <w:spacing w:before="1" w:line="240" w:lineRule="auto"/>
              <w:ind w:left="345"/>
              <w:rPr>
                <w:sz w:val="24"/>
              </w:rPr>
            </w:pPr>
            <w:r>
              <w:rPr>
                <w:spacing w:val="-5"/>
                <w:sz w:val="24"/>
              </w:rPr>
              <w:t>25</w:t>
            </w:r>
          </w:p>
        </w:tc>
        <w:tc>
          <w:tcPr>
            <w:tcW w:w="3310" w:type="dxa"/>
            <w:tcBorders>
              <w:left w:val="nil"/>
              <w:right w:val="nil"/>
            </w:tcBorders>
          </w:tcPr>
          <w:p w:rsidR="00E632C8" w:rsidRDefault="00D21170">
            <w:pPr>
              <w:pStyle w:val="TableParagraph"/>
              <w:spacing w:before="1" w:line="240" w:lineRule="auto"/>
              <w:ind w:right="91"/>
              <w:rPr>
                <w:sz w:val="24"/>
              </w:rPr>
            </w:pPr>
            <w:r>
              <w:rPr>
                <w:spacing w:val="-2"/>
                <w:sz w:val="24"/>
              </w:rPr>
              <w:t>0.887</w:t>
            </w:r>
          </w:p>
        </w:tc>
      </w:tr>
    </w:tbl>
    <w:p w:rsidR="00E632C8" w:rsidRDefault="00D21170">
      <w:pPr>
        <w:ind w:left="360"/>
        <w:jc w:val="both"/>
        <w:rPr>
          <w:i/>
          <w:sz w:val="24"/>
        </w:rPr>
      </w:pPr>
      <w:r>
        <w:rPr>
          <w:i/>
          <w:sz w:val="24"/>
        </w:rPr>
        <w:t>Source:</w:t>
      </w:r>
      <w:r>
        <w:rPr>
          <w:i/>
          <w:spacing w:val="-4"/>
          <w:sz w:val="24"/>
        </w:rPr>
        <w:t xml:space="preserve"> </w:t>
      </w:r>
      <w:r>
        <w:rPr>
          <w:i/>
          <w:sz w:val="24"/>
        </w:rPr>
        <w:t>SPSS</w:t>
      </w:r>
      <w:r>
        <w:rPr>
          <w:i/>
          <w:spacing w:val="-1"/>
          <w:sz w:val="24"/>
        </w:rPr>
        <w:t xml:space="preserve"> </w:t>
      </w:r>
      <w:r>
        <w:rPr>
          <w:i/>
          <w:sz w:val="24"/>
        </w:rPr>
        <w:t>Reliability</w:t>
      </w:r>
      <w:r>
        <w:rPr>
          <w:i/>
          <w:spacing w:val="-2"/>
          <w:sz w:val="24"/>
        </w:rPr>
        <w:t xml:space="preserve"> </w:t>
      </w:r>
      <w:r>
        <w:rPr>
          <w:i/>
          <w:sz w:val="24"/>
        </w:rPr>
        <w:t>Analysis</w:t>
      </w:r>
      <w:r>
        <w:rPr>
          <w:i/>
          <w:spacing w:val="-3"/>
          <w:sz w:val="24"/>
        </w:rPr>
        <w:t xml:space="preserve"> </w:t>
      </w:r>
      <w:r>
        <w:rPr>
          <w:i/>
          <w:sz w:val="24"/>
        </w:rPr>
        <w:t>output,</w:t>
      </w:r>
      <w:r>
        <w:rPr>
          <w:i/>
          <w:spacing w:val="-1"/>
          <w:sz w:val="24"/>
        </w:rPr>
        <w:t xml:space="preserve"> </w:t>
      </w:r>
      <w:r>
        <w:rPr>
          <w:i/>
          <w:sz w:val="24"/>
        </w:rPr>
        <w:t>primary</w:t>
      </w:r>
      <w:r>
        <w:rPr>
          <w:i/>
          <w:spacing w:val="-2"/>
          <w:sz w:val="24"/>
        </w:rPr>
        <w:t xml:space="preserve"> </w:t>
      </w:r>
      <w:r>
        <w:rPr>
          <w:i/>
          <w:sz w:val="24"/>
        </w:rPr>
        <w:t>survey</w:t>
      </w:r>
      <w:r>
        <w:rPr>
          <w:i/>
          <w:spacing w:val="-3"/>
          <w:sz w:val="24"/>
        </w:rPr>
        <w:t xml:space="preserve"> </w:t>
      </w:r>
      <w:r>
        <w:rPr>
          <w:i/>
          <w:sz w:val="24"/>
        </w:rPr>
        <w:t>data</w:t>
      </w:r>
      <w:r>
        <w:rPr>
          <w:i/>
          <w:spacing w:val="-1"/>
          <w:sz w:val="24"/>
        </w:rPr>
        <w:t xml:space="preserve"> </w:t>
      </w:r>
      <w:r>
        <w:rPr>
          <w:i/>
          <w:sz w:val="24"/>
        </w:rPr>
        <w:t>(n</w:t>
      </w:r>
      <w:r>
        <w:rPr>
          <w:i/>
          <w:spacing w:val="-1"/>
          <w:sz w:val="24"/>
        </w:rPr>
        <w:t xml:space="preserve"> </w:t>
      </w:r>
      <w:r>
        <w:rPr>
          <w:i/>
          <w:sz w:val="24"/>
        </w:rPr>
        <w:t>=</w:t>
      </w:r>
      <w:r>
        <w:rPr>
          <w:i/>
          <w:spacing w:val="-1"/>
          <w:sz w:val="24"/>
        </w:rPr>
        <w:t xml:space="preserve"> </w:t>
      </w:r>
      <w:r>
        <w:rPr>
          <w:i/>
          <w:spacing w:val="-2"/>
          <w:sz w:val="24"/>
        </w:rPr>
        <w:t>150).</w:t>
      </w:r>
    </w:p>
    <w:p w:rsidR="00E632C8" w:rsidRDefault="00D21170">
      <w:pPr>
        <w:pStyle w:val="Heading1"/>
        <w:numPr>
          <w:ilvl w:val="1"/>
          <w:numId w:val="2"/>
        </w:numPr>
        <w:tabs>
          <w:tab w:val="left" w:pos="720"/>
        </w:tabs>
        <w:spacing w:before="38"/>
        <w:jc w:val="both"/>
      </w:pPr>
      <w:r>
        <w:t>Descriptive</w:t>
      </w:r>
      <w:r>
        <w:rPr>
          <w:spacing w:val="-3"/>
        </w:rPr>
        <w:t xml:space="preserve"> </w:t>
      </w:r>
      <w:r>
        <w:t>Statistics</w:t>
      </w:r>
      <w:r>
        <w:rPr>
          <w:spacing w:val="-2"/>
        </w:rPr>
        <w:t xml:space="preserve"> </w:t>
      </w:r>
      <w:r>
        <w:t>of</w:t>
      </w:r>
      <w:r>
        <w:rPr>
          <w:spacing w:val="-1"/>
        </w:rPr>
        <w:t xml:space="preserve"> </w:t>
      </w:r>
      <w:r>
        <w:t>Service</w:t>
      </w:r>
      <w:r>
        <w:rPr>
          <w:spacing w:val="-3"/>
        </w:rPr>
        <w:t xml:space="preserve"> </w:t>
      </w:r>
      <w:r>
        <w:t>Quality</w:t>
      </w:r>
      <w:r>
        <w:rPr>
          <w:spacing w:val="-1"/>
        </w:rPr>
        <w:t xml:space="preserve"> </w:t>
      </w:r>
      <w:r>
        <w:rPr>
          <w:spacing w:val="-2"/>
        </w:rPr>
        <w:t>Dimensions</w:t>
      </w:r>
    </w:p>
    <w:p w:rsidR="00E632C8" w:rsidRDefault="00D21170">
      <w:pPr>
        <w:pStyle w:val="BodyText"/>
        <w:spacing w:before="44" w:line="276" w:lineRule="auto"/>
        <w:ind w:right="718"/>
      </w:pPr>
      <w:r>
        <w:t>Table 3 reports the mean scores and standard deviations for each service quality dimension and for overall customer satisfaction. Assurance recorded the highest mean score (M = 3.94, SD = 0.59),</w:t>
      </w:r>
      <w:r>
        <w:rPr>
          <w:spacing w:val="-3"/>
        </w:rPr>
        <w:t xml:space="preserve"> </w:t>
      </w:r>
      <w:r>
        <w:t>suggesting</w:t>
      </w:r>
      <w:r>
        <w:rPr>
          <w:spacing w:val="-3"/>
        </w:rPr>
        <w:t xml:space="preserve"> </w:t>
      </w:r>
      <w:r>
        <w:t>that</w:t>
      </w:r>
      <w:r>
        <w:rPr>
          <w:spacing w:val="-1"/>
        </w:rPr>
        <w:t xml:space="preserve"> </w:t>
      </w:r>
      <w:r>
        <w:t>respondents</w:t>
      </w:r>
      <w:r>
        <w:rPr>
          <w:spacing w:val="-4"/>
        </w:rPr>
        <w:t xml:space="preserve"> </w:t>
      </w:r>
      <w:r>
        <w:t>generally</w:t>
      </w:r>
      <w:r>
        <w:rPr>
          <w:spacing w:val="-3"/>
        </w:rPr>
        <w:t xml:space="preserve"> </w:t>
      </w:r>
      <w:r>
        <w:t>trust</w:t>
      </w:r>
      <w:r>
        <w:rPr>
          <w:spacing w:val="-3"/>
        </w:rPr>
        <w:t xml:space="preserve"> </w:t>
      </w:r>
      <w:r>
        <w:t>the</w:t>
      </w:r>
      <w:r>
        <w:rPr>
          <w:spacing w:val="-4"/>
        </w:rPr>
        <w:t xml:space="preserve"> </w:t>
      </w:r>
      <w:r>
        <w:t>security</w:t>
      </w:r>
      <w:r>
        <w:rPr>
          <w:spacing w:val="-3"/>
        </w:rPr>
        <w:t xml:space="preserve"> </w:t>
      </w:r>
      <w:r>
        <w:t>and</w:t>
      </w:r>
      <w:r>
        <w:rPr>
          <w:spacing w:val="-1"/>
        </w:rPr>
        <w:t xml:space="preserve"> </w:t>
      </w:r>
      <w:r>
        <w:t>competence</w:t>
      </w:r>
      <w:r>
        <w:rPr>
          <w:spacing w:val="-4"/>
        </w:rPr>
        <w:t xml:space="preserve"> </w:t>
      </w:r>
      <w:r>
        <w:t>of</w:t>
      </w:r>
      <w:r>
        <w:rPr>
          <w:spacing w:val="-3"/>
        </w:rPr>
        <w:t xml:space="preserve"> </w:t>
      </w:r>
      <w:r>
        <w:t>SBI's</w:t>
      </w:r>
      <w:r>
        <w:rPr>
          <w:spacing w:val="-4"/>
        </w:rPr>
        <w:t xml:space="preserve"> </w:t>
      </w:r>
      <w:r>
        <w:t xml:space="preserve">e-banking staff and systems, while empathy recorded the lowest mean score (M = 3.62, SD = 0.71), indicating comparatively weaker perceptions of </w:t>
      </w:r>
      <w:proofErr w:type="spellStart"/>
      <w:r>
        <w:t>personalised</w:t>
      </w:r>
      <w:proofErr w:type="spellEnd"/>
      <w:r>
        <w:t xml:space="preserve"> attention and </w:t>
      </w:r>
      <w:proofErr w:type="spellStart"/>
      <w:r>
        <w:t>individualised</w:t>
      </w:r>
      <w:proofErr w:type="spellEnd"/>
      <w:r>
        <w:t xml:space="preserve"> problem-solving. Overall customer satisfaction (M </w:t>
      </w:r>
      <w:r>
        <w:t>= 3.80, SD = 0.60) falls in the 'agree' range</w:t>
      </w:r>
      <w:r>
        <w:rPr>
          <w:spacing w:val="80"/>
        </w:rPr>
        <w:t xml:space="preserve"> </w:t>
      </w:r>
      <w:r>
        <w:t>on the five-point scale, suggesting a moderate-to-high level of satisfaction among SBI e-banking customers in the district, with clear room for improvement.</w:t>
      </w:r>
    </w:p>
    <w:p w:rsidR="00E632C8" w:rsidRDefault="00D21170">
      <w:pPr>
        <w:spacing w:line="278" w:lineRule="auto"/>
        <w:ind w:left="360" w:right="1215"/>
        <w:jc w:val="both"/>
        <w:rPr>
          <w:b/>
          <w:sz w:val="24"/>
        </w:rPr>
      </w:pPr>
      <w:r>
        <w:rPr>
          <w:b/>
          <w:sz w:val="24"/>
        </w:rPr>
        <w:t>Table</w:t>
      </w:r>
      <w:r>
        <w:rPr>
          <w:b/>
          <w:spacing w:val="-3"/>
          <w:sz w:val="24"/>
        </w:rPr>
        <w:t xml:space="preserve"> </w:t>
      </w:r>
      <w:r>
        <w:rPr>
          <w:b/>
          <w:sz w:val="24"/>
        </w:rPr>
        <w:t>3.</w:t>
      </w:r>
      <w:r>
        <w:rPr>
          <w:b/>
          <w:spacing w:val="-3"/>
          <w:sz w:val="24"/>
        </w:rPr>
        <w:t xml:space="preserve"> </w:t>
      </w:r>
      <w:r>
        <w:rPr>
          <w:b/>
          <w:sz w:val="24"/>
        </w:rPr>
        <w:t>Descriptive</w:t>
      </w:r>
      <w:r>
        <w:rPr>
          <w:b/>
          <w:spacing w:val="-5"/>
          <w:sz w:val="24"/>
        </w:rPr>
        <w:t xml:space="preserve"> </w:t>
      </w:r>
      <w:r>
        <w:rPr>
          <w:b/>
          <w:sz w:val="24"/>
        </w:rPr>
        <w:t>Statistics</w:t>
      </w:r>
      <w:r>
        <w:rPr>
          <w:b/>
          <w:spacing w:val="-4"/>
          <w:sz w:val="24"/>
        </w:rPr>
        <w:t xml:space="preserve"> </w:t>
      </w:r>
      <w:r>
        <w:rPr>
          <w:b/>
          <w:sz w:val="24"/>
        </w:rPr>
        <w:t>of</w:t>
      </w:r>
      <w:r>
        <w:rPr>
          <w:b/>
          <w:spacing w:val="-3"/>
          <w:sz w:val="24"/>
        </w:rPr>
        <w:t xml:space="preserve"> </w:t>
      </w:r>
      <w:r>
        <w:rPr>
          <w:b/>
          <w:sz w:val="24"/>
        </w:rPr>
        <w:t>E-Banking</w:t>
      </w:r>
      <w:r>
        <w:rPr>
          <w:b/>
          <w:spacing w:val="-3"/>
          <w:sz w:val="24"/>
        </w:rPr>
        <w:t xml:space="preserve"> </w:t>
      </w:r>
      <w:r>
        <w:rPr>
          <w:b/>
          <w:sz w:val="24"/>
        </w:rPr>
        <w:t>Service</w:t>
      </w:r>
      <w:r>
        <w:rPr>
          <w:b/>
          <w:spacing w:val="-5"/>
          <w:sz w:val="24"/>
        </w:rPr>
        <w:t xml:space="preserve"> </w:t>
      </w:r>
      <w:r>
        <w:rPr>
          <w:b/>
          <w:sz w:val="24"/>
        </w:rPr>
        <w:t>Quality</w:t>
      </w:r>
      <w:r>
        <w:rPr>
          <w:b/>
          <w:spacing w:val="-3"/>
          <w:sz w:val="24"/>
        </w:rPr>
        <w:t xml:space="preserve"> </w:t>
      </w:r>
      <w:r>
        <w:rPr>
          <w:b/>
          <w:sz w:val="24"/>
        </w:rPr>
        <w:t>Dimensions</w:t>
      </w:r>
      <w:r>
        <w:rPr>
          <w:b/>
          <w:spacing w:val="-4"/>
          <w:sz w:val="24"/>
        </w:rPr>
        <w:t xml:space="preserve"> </w:t>
      </w:r>
      <w:r>
        <w:rPr>
          <w:b/>
          <w:sz w:val="24"/>
        </w:rPr>
        <w:t>and</w:t>
      </w:r>
      <w:r>
        <w:rPr>
          <w:b/>
          <w:spacing w:val="-3"/>
          <w:sz w:val="24"/>
        </w:rPr>
        <w:t xml:space="preserve"> </w:t>
      </w:r>
      <w:r>
        <w:rPr>
          <w:b/>
          <w:sz w:val="24"/>
        </w:rPr>
        <w:t>Customer Satisfaction (n = 150)</w:t>
      </w:r>
    </w:p>
    <w:tbl>
      <w:tblPr>
        <w:tblW w:w="0" w:type="auto"/>
        <w:tblInd w:w="245" w:type="dxa"/>
        <w:tblLayout w:type="fixed"/>
        <w:tblCellMar>
          <w:left w:w="0" w:type="dxa"/>
          <w:right w:w="0" w:type="dxa"/>
        </w:tblCellMar>
        <w:tblLook w:val="01E0" w:firstRow="1" w:lastRow="1" w:firstColumn="1" w:lastColumn="1" w:noHBand="0" w:noVBand="0"/>
      </w:tblPr>
      <w:tblGrid>
        <w:gridCol w:w="3866"/>
        <w:gridCol w:w="1831"/>
        <w:gridCol w:w="2490"/>
        <w:gridCol w:w="1829"/>
      </w:tblGrid>
      <w:tr w:rsidR="00E632C8">
        <w:trPr>
          <w:trHeight w:val="316"/>
        </w:trPr>
        <w:tc>
          <w:tcPr>
            <w:tcW w:w="5697" w:type="dxa"/>
            <w:gridSpan w:val="2"/>
            <w:tcBorders>
              <w:top w:val="single" w:sz="4" w:space="0" w:color="7E7E7E"/>
              <w:bottom w:val="single" w:sz="4" w:space="0" w:color="7E7E7E"/>
            </w:tcBorders>
          </w:tcPr>
          <w:p w:rsidR="00E632C8" w:rsidRDefault="00D21170">
            <w:pPr>
              <w:pStyle w:val="TableParagraph"/>
              <w:tabs>
                <w:tab w:val="left" w:pos="4622"/>
              </w:tabs>
              <w:ind w:left="1466"/>
              <w:jc w:val="left"/>
              <w:rPr>
                <w:b/>
                <w:sz w:val="24"/>
              </w:rPr>
            </w:pPr>
            <w:r>
              <w:rPr>
                <w:b/>
                <w:spacing w:val="-2"/>
                <w:sz w:val="24"/>
              </w:rPr>
              <w:t>Dimension</w:t>
            </w:r>
            <w:r>
              <w:rPr>
                <w:b/>
                <w:sz w:val="24"/>
              </w:rPr>
              <w:tab/>
            </w:r>
            <w:r>
              <w:rPr>
                <w:b/>
                <w:spacing w:val="-4"/>
                <w:sz w:val="24"/>
              </w:rPr>
              <w:t>Mean</w:t>
            </w:r>
          </w:p>
        </w:tc>
        <w:tc>
          <w:tcPr>
            <w:tcW w:w="2490" w:type="dxa"/>
            <w:tcBorders>
              <w:top w:val="single" w:sz="4" w:space="0" w:color="7E7E7E"/>
              <w:bottom w:val="single" w:sz="4" w:space="0" w:color="7E7E7E"/>
            </w:tcBorders>
          </w:tcPr>
          <w:p w:rsidR="00E632C8" w:rsidRDefault="00D21170">
            <w:pPr>
              <w:pStyle w:val="TableParagraph"/>
              <w:ind w:right="52"/>
              <w:rPr>
                <w:b/>
                <w:sz w:val="24"/>
              </w:rPr>
            </w:pPr>
            <w:r>
              <w:rPr>
                <w:b/>
                <w:sz w:val="24"/>
              </w:rPr>
              <w:t xml:space="preserve">Std. </w:t>
            </w:r>
            <w:r>
              <w:rPr>
                <w:b/>
                <w:spacing w:val="-2"/>
                <w:sz w:val="24"/>
              </w:rPr>
              <w:t>Deviation</w:t>
            </w:r>
          </w:p>
        </w:tc>
        <w:tc>
          <w:tcPr>
            <w:tcW w:w="1829" w:type="dxa"/>
            <w:tcBorders>
              <w:top w:val="single" w:sz="4" w:space="0" w:color="7E7E7E"/>
              <w:bottom w:val="single" w:sz="4" w:space="0" w:color="7E7E7E"/>
            </w:tcBorders>
          </w:tcPr>
          <w:p w:rsidR="00E632C8" w:rsidRDefault="00D21170">
            <w:pPr>
              <w:pStyle w:val="TableParagraph"/>
              <w:ind w:right="170"/>
              <w:rPr>
                <w:b/>
                <w:sz w:val="24"/>
              </w:rPr>
            </w:pPr>
            <w:r>
              <w:rPr>
                <w:b/>
                <w:spacing w:val="-4"/>
                <w:sz w:val="24"/>
              </w:rPr>
              <w:t>Rank</w:t>
            </w:r>
          </w:p>
        </w:tc>
      </w:tr>
      <w:tr w:rsidR="00E632C8">
        <w:trPr>
          <w:trHeight w:val="318"/>
        </w:trPr>
        <w:tc>
          <w:tcPr>
            <w:tcW w:w="3866" w:type="dxa"/>
            <w:tcBorders>
              <w:bottom w:val="single" w:sz="4" w:space="0" w:color="7E7E7E"/>
            </w:tcBorders>
          </w:tcPr>
          <w:p w:rsidR="00E632C8" w:rsidRDefault="00D21170">
            <w:pPr>
              <w:pStyle w:val="TableParagraph"/>
              <w:spacing w:line="270" w:lineRule="exact"/>
              <w:ind w:left="122"/>
              <w:jc w:val="left"/>
              <w:rPr>
                <w:sz w:val="24"/>
              </w:rPr>
            </w:pPr>
            <w:r>
              <w:rPr>
                <w:spacing w:val="-2"/>
                <w:sz w:val="24"/>
              </w:rPr>
              <w:t>Reliability</w:t>
            </w:r>
          </w:p>
        </w:tc>
        <w:tc>
          <w:tcPr>
            <w:tcW w:w="1831" w:type="dxa"/>
            <w:tcBorders>
              <w:bottom w:val="single" w:sz="4" w:space="0" w:color="7E7E7E"/>
            </w:tcBorders>
          </w:tcPr>
          <w:p w:rsidR="00E632C8" w:rsidRDefault="00D21170">
            <w:pPr>
              <w:pStyle w:val="TableParagraph"/>
              <w:spacing w:line="270" w:lineRule="exact"/>
              <w:ind w:right="570"/>
              <w:jc w:val="right"/>
              <w:rPr>
                <w:sz w:val="24"/>
              </w:rPr>
            </w:pPr>
            <w:r>
              <w:rPr>
                <w:spacing w:val="-4"/>
                <w:sz w:val="24"/>
              </w:rPr>
              <w:t>3.86</w:t>
            </w:r>
          </w:p>
        </w:tc>
        <w:tc>
          <w:tcPr>
            <w:tcW w:w="2490" w:type="dxa"/>
            <w:tcBorders>
              <w:bottom w:val="single" w:sz="4" w:space="0" w:color="7E7E7E"/>
            </w:tcBorders>
          </w:tcPr>
          <w:p w:rsidR="00E632C8" w:rsidRDefault="00D21170">
            <w:pPr>
              <w:pStyle w:val="TableParagraph"/>
              <w:spacing w:line="270" w:lineRule="exact"/>
              <w:ind w:left="4" w:right="52"/>
              <w:rPr>
                <w:sz w:val="24"/>
              </w:rPr>
            </w:pPr>
            <w:r>
              <w:rPr>
                <w:spacing w:val="-4"/>
                <w:sz w:val="24"/>
              </w:rPr>
              <w:t>0.62</w:t>
            </w:r>
          </w:p>
        </w:tc>
        <w:tc>
          <w:tcPr>
            <w:tcW w:w="1829" w:type="dxa"/>
            <w:tcBorders>
              <w:bottom w:val="single" w:sz="4" w:space="0" w:color="7E7E7E"/>
            </w:tcBorders>
          </w:tcPr>
          <w:p w:rsidR="00E632C8" w:rsidRDefault="00D21170">
            <w:pPr>
              <w:pStyle w:val="TableParagraph"/>
              <w:spacing w:line="270" w:lineRule="exact"/>
              <w:ind w:right="173"/>
              <w:rPr>
                <w:sz w:val="24"/>
              </w:rPr>
            </w:pPr>
            <w:r>
              <w:rPr>
                <w:spacing w:val="-10"/>
                <w:sz w:val="24"/>
              </w:rPr>
              <w:t>2</w:t>
            </w:r>
          </w:p>
        </w:tc>
      </w:tr>
      <w:tr w:rsidR="00E632C8">
        <w:trPr>
          <w:trHeight w:val="316"/>
        </w:trPr>
        <w:tc>
          <w:tcPr>
            <w:tcW w:w="3866" w:type="dxa"/>
            <w:tcBorders>
              <w:top w:val="single" w:sz="4" w:space="0" w:color="7E7E7E"/>
              <w:bottom w:val="single" w:sz="4" w:space="0" w:color="7E7E7E"/>
            </w:tcBorders>
          </w:tcPr>
          <w:p w:rsidR="00E632C8" w:rsidRDefault="00D21170">
            <w:pPr>
              <w:pStyle w:val="TableParagraph"/>
              <w:ind w:left="122"/>
              <w:jc w:val="left"/>
              <w:rPr>
                <w:sz w:val="24"/>
              </w:rPr>
            </w:pPr>
            <w:r>
              <w:rPr>
                <w:spacing w:val="-2"/>
                <w:sz w:val="24"/>
              </w:rPr>
              <w:t>Responsiveness</w:t>
            </w:r>
          </w:p>
        </w:tc>
        <w:tc>
          <w:tcPr>
            <w:tcW w:w="1831" w:type="dxa"/>
            <w:tcBorders>
              <w:top w:val="single" w:sz="4" w:space="0" w:color="7E7E7E"/>
              <w:bottom w:val="single" w:sz="4" w:space="0" w:color="7E7E7E"/>
            </w:tcBorders>
          </w:tcPr>
          <w:p w:rsidR="00E632C8" w:rsidRDefault="00D21170">
            <w:pPr>
              <w:pStyle w:val="TableParagraph"/>
              <w:ind w:right="570"/>
              <w:jc w:val="right"/>
              <w:rPr>
                <w:sz w:val="24"/>
              </w:rPr>
            </w:pPr>
            <w:r>
              <w:rPr>
                <w:spacing w:val="-4"/>
                <w:sz w:val="24"/>
              </w:rPr>
              <w:t>3.71</w:t>
            </w:r>
          </w:p>
        </w:tc>
        <w:tc>
          <w:tcPr>
            <w:tcW w:w="2490" w:type="dxa"/>
            <w:tcBorders>
              <w:top w:val="single" w:sz="4" w:space="0" w:color="7E7E7E"/>
              <w:bottom w:val="single" w:sz="4" w:space="0" w:color="7E7E7E"/>
            </w:tcBorders>
          </w:tcPr>
          <w:p w:rsidR="00E632C8" w:rsidRDefault="00D21170">
            <w:pPr>
              <w:pStyle w:val="TableParagraph"/>
              <w:ind w:left="4" w:right="52"/>
              <w:rPr>
                <w:sz w:val="24"/>
              </w:rPr>
            </w:pPr>
            <w:r>
              <w:rPr>
                <w:spacing w:val="-4"/>
                <w:sz w:val="24"/>
              </w:rPr>
              <w:t>0.68</w:t>
            </w:r>
          </w:p>
        </w:tc>
        <w:tc>
          <w:tcPr>
            <w:tcW w:w="1829" w:type="dxa"/>
            <w:tcBorders>
              <w:top w:val="single" w:sz="4" w:space="0" w:color="7E7E7E"/>
              <w:bottom w:val="single" w:sz="4" w:space="0" w:color="7E7E7E"/>
            </w:tcBorders>
          </w:tcPr>
          <w:p w:rsidR="00E632C8" w:rsidRDefault="00D21170">
            <w:pPr>
              <w:pStyle w:val="TableParagraph"/>
              <w:ind w:right="173"/>
              <w:rPr>
                <w:sz w:val="24"/>
              </w:rPr>
            </w:pPr>
            <w:r>
              <w:rPr>
                <w:spacing w:val="-10"/>
                <w:sz w:val="24"/>
              </w:rPr>
              <w:t>4</w:t>
            </w:r>
          </w:p>
        </w:tc>
      </w:tr>
      <w:tr w:rsidR="00E632C8">
        <w:trPr>
          <w:trHeight w:val="318"/>
        </w:trPr>
        <w:tc>
          <w:tcPr>
            <w:tcW w:w="3866" w:type="dxa"/>
            <w:tcBorders>
              <w:top w:val="single" w:sz="4" w:space="0" w:color="7E7E7E"/>
              <w:bottom w:val="single" w:sz="4" w:space="0" w:color="7E7E7E"/>
            </w:tcBorders>
          </w:tcPr>
          <w:p w:rsidR="00E632C8" w:rsidRDefault="00D21170">
            <w:pPr>
              <w:pStyle w:val="TableParagraph"/>
              <w:ind w:left="122"/>
              <w:jc w:val="left"/>
              <w:rPr>
                <w:sz w:val="24"/>
              </w:rPr>
            </w:pPr>
            <w:r>
              <w:rPr>
                <w:spacing w:val="-2"/>
                <w:sz w:val="24"/>
              </w:rPr>
              <w:t>Assurance</w:t>
            </w:r>
          </w:p>
        </w:tc>
        <w:tc>
          <w:tcPr>
            <w:tcW w:w="1831" w:type="dxa"/>
            <w:tcBorders>
              <w:top w:val="single" w:sz="4" w:space="0" w:color="7E7E7E"/>
              <w:bottom w:val="single" w:sz="4" w:space="0" w:color="7E7E7E"/>
            </w:tcBorders>
          </w:tcPr>
          <w:p w:rsidR="00E632C8" w:rsidRDefault="00D21170">
            <w:pPr>
              <w:pStyle w:val="TableParagraph"/>
              <w:ind w:right="570"/>
              <w:jc w:val="right"/>
              <w:rPr>
                <w:sz w:val="24"/>
              </w:rPr>
            </w:pPr>
            <w:r>
              <w:rPr>
                <w:spacing w:val="-4"/>
                <w:sz w:val="24"/>
              </w:rPr>
              <w:t>3.94</w:t>
            </w:r>
          </w:p>
        </w:tc>
        <w:tc>
          <w:tcPr>
            <w:tcW w:w="2490" w:type="dxa"/>
            <w:tcBorders>
              <w:top w:val="single" w:sz="4" w:space="0" w:color="7E7E7E"/>
              <w:bottom w:val="single" w:sz="4" w:space="0" w:color="7E7E7E"/>
            </w:tcBorders>
          </w:tcPr>
          <w:p w:rsidR="00E632C8" w:rsidRDefault="00D21170">
            <w:pPr>
              <w:pStyle w:val="TableParagraph"/>
              <w:ind w:left="4" w:right="52"/>
              <w:rPr>
                <w:sz w:val="24"/>
              </w:rPr>
            </w:pPr>
            <w:r>
              <w:rPr>
                <w:spacing w:val="-4"/>
                <w:sz w:val="24"/>
              </w:rPr>
              <w:t>0.59</w:t>
            </w:r>
          </w:p>
        </w:tc>
        <w:tc>
          <w:tcPr>
            <w:tcW w:w="1829" w:type="dxa"/>
            <w:tcBorders>
              <w:top w:val="single" w:sz="4" w:space="0" w:color="7E7E7E"/>
              <w:bottom w:val="single" w:sz="4" w:space="0" w:color="7E7E7E"/>
            </w:tcBorders>
          </w:tcPr>
          <w:p w:rsidR="00E632C8" w:rsidRDefault="00D21170">
            <w:pPr>
              <w:pStyle w:val="TableParagraph"/>
              <w:ind w:right="173"/>
              <w:rPr>
                <w:sz w:val="24"/>
              </w:rPr>
            </w:pPr>
            <w:r>
              <w:rPr>
                <w:spacing w:val="-10"/>
                <w:sz w:val="24"/>
              </w:rPr>
              <w:t>1</w:t>
            </w:r>
          </w:p>
        </w:tc>
      </w:tr>
      <w:tr w:rsidR="00E632C8">
        <w:trPr>
          <w:trHeight w:val="316"/>
        </w:trPr>
        <w:tc>
          <w:tcPr>
            <w:tcW w:w="3866" w:type="dxa"/>
            <w:tcBorders>
              <w:top w:val="single" w:sz="4" w:space="0" w:color="7E7E7E"/>
              <w:bottom w:val="single" w:sz="4" w:space="0" w:color="7E7E7E"/>
            </w:tcBorders>
          </w:tcPr>
          <w:p w:rsidR="00E632C8" w:rsidRDefault="00D21170">
            <w:pPr>
              <w:pStyle w:val="TableParagraph"/>
              <w:ind w:left="122"/>
              <w:jc w:val="left"/>
              <w:rPr>
                <w:sz w:val="24"/>
              </w:rPr>
            </w:pPr>
            <w:r>
              <w:rPr>
                <w:spacing w:val="-2"/>
                <w:sz w:val="24"/>
              </w:rPr>
              <w:t>Empathy</w:t>
            </w:r>
          </w:p>
        </w:tc>
        <w:tc>
          <w:tcPr>
            <w:tcW w:w="1831" w:type="dxa"/>
            <w:tcBorders>
              <w:top w:val="single" w:sz="4" w:space="0" w:color="7E7E7E"/>
              <w:bottom w:val="single" w:sz="4" w:space="0" w:color="7E7E7E"/>
            </w:tcBorders>
          </w:tcPr>
          <w:p w:rsidR="00E632C8" w:rsidRDefault="00D21170">
            <w:pPr>
              <w:pStyle w:val="TableParagraph"/>
              <w:ind w:right="570"/>
              <w:jc w:val="right"/>
              <w:rPr>
                <w:sz w:val="24"/>
              </w:rPr>
            </w:pPr>
            <w:r>
              <w:rPr>
                <w:spacing w:val="-4"/>
                <w:sz w:val="24"/>
              </w:rPr>
              <w:t>3.62</w:t>
            </w:r>
          </w:p>
        </w:tc>
        <w:tc>
          <w:tcPr>
            <w:tcW w:w="2490" w:type="dxa"/>
            <w:tcBorders>
              <w:top w:val="single" w:sz="4" w:space="0" w:color="7E7E7E"/>
              <w:bottom w:val="single" w:sz="4" w:space="0" w:color="7E7E7E"/>
            </w:tcBorders>
          </w:tcPr>
          <w:p w:rsidR="00E632C8" w:rsidRDefault="00D21170">
            <w:pPr>
              <w:pStyle w:val="TableParagraph"/>
              <w:ind w:left="4" w:right="52"/>
              <w:rPr>
                <w:sz w:val="24"/>
              </w:rPr>
            </w:pPr>
            <w:r>
              <w:rPr>
                <w:spacing w:val="-4"/>
                <w:sz w:val="24"/>
              </w:rPr>
              <w:t>0.71</w:t>
            </w:r>
          </w:p>
        </w:tc>
        <w:tc>
          <w:tcPr>
            <w:tcW w:w="1829" w:type="dxa"/>
            <w:tcBorders>
              <w:top w:val="single" w:sz="4" w:space="0" w:color="7E7E7E"/>
              <w:bottom w:val="single" w:sz="4" w:space="0" w:color="7E7E7E"/>
            </w:tcBorders>
          </w:tcPr>
          <w:p w:rsidR="00E632C8" w:rsidRDefault="00D21170">
            <w:pPr>
              <w:pStyle w:val="TableParagraph"/>
              <w:ind w:right="173"/>
              <w:rPr>
                <w:sz w:val="24"/>
              </w:rPr>
            </w:pPr>
            <w:r>
              <w:rPr>
                <w:spacing w:val="-10"/>
                <w:sz w:val="24"/>
              </w:rPr>
              <w:t>5</w:t>
            </w:r>
          </w:p>
        </w:tc>
      </w:tr>
      <w:tr w:rsidR="00E632C8">
        <w:trPr>
          <w:trHeight w:val="316"/>
        </w:trPr>
        <w:tc>
          <w:tcPr>
            <w:tcW w:w="3866" w:type="dxa"/>
            <w:tcBorders>
              <w:top w:val="single" w:sz="4" w:space="0" w:color="7E7E7E"/>
              <w:bottom w:val="single" w:sz="4" w:space="0" w:color="7E7E7E"/>
            </w:tcBorders>
          </w:tcPr>
          <w:p w:rsidR="00E632C8" w:rsidRDefault="00D21170">
            <w:pPr>
              <w:pStyle w:val="TableParagraph"/>
              <w:ind w:left="122"/>
              <w:jc w:val="left"/>
              <w:rPr>
                <w:sz w:val="24"/>
              </w:rPr>
            </w:pPr>
            <w:r>
              <w:rPr>
                <w:spacing w:val="-2"/>
                <w:sz w:val="24"/>
              </w:rPr>
              <w:t>Tangibility</w:t>
            </w:r>
          </w:p>
        </w:tc>
        <w:tc>
          <w:tcPr>
            <w:tcW w:w="1831" w:type="dxa"/>
            <w:tcBorders>
              <w:top w:val="single" w:sz="4" w:space="0" w:color="7E7E7E"/>
              <w:bottom w:val="single" w:sz="4" w:space="0" w:color="7E7E7E"/>
            </w:tcBorders>
          </w:tcPr>
          <w:p w:rsidR="00E632C8" w:rsidRDefault="00D21170">
            <w:pPr>
              <w:pStyle w:val="TableParagraph"/>
              <w:ind w:right="570"/>
              <w:jc w:val="right"/>
              <w:rPr>
                <w:sz w:val="24"/>
              </w:rPr>
            </w:pPr>
            <w:r>
              <w:rPr>
                <w:spacing w:val="-4"/>
                <w:sz w:val="24"/>
              </w:rPr>
              <w:t>3.78</w:t>
            </w:r>
          </w:p>
        </w:tc>
        <w:tc>
          <w:tcPr>
            <w:tcW w:w="2490" w:type="dxa"/>
            <w:tcBorders>
              <w:top w:val="single" w:sz="4" w:space="0" w:color="7E7E7E"/>
              <w:bottom w:val="single" w:sz="4" w:space="0" w:color="7E7E7E"/>
            </w:tcBorders>
          </w:tcPr>
          <w:p w:rsidR="00E632C8" w:rsidRDefault="00D21170">
            <w:pPr>
              <w:pStyle w:val="TableParagraph"/>
              <w:ind w:left="4" w:right="52"/>
              <w:rPr>
                <w:sz w:val="24"/>
              </w:rPr>
            </w:pPr>
            <w:r>
              <w:rPr>
                <w:spacing w:val="-4"/>
                <w:sz w:val="24"/>
              </w:rPr>
              <w:t>0.65</w:t>
            </w:r>
          </w:p>
        </w:tc>
        <w:tc>
          <w:tcPr>
            <w:tcW w:w="1829" w:type="dxa"/>
            <w:tcBorders>
              <w:top w:val="single" w:sz="4" w:space="0" w:color="7E7E7E"/>
              <w:bottom w:val="single" w:sz="4" w:space="0" w:color="7E7E7E"/>
            </w:tcBorders>
          </w:tcPr>
          <w:p w:rsidR="00E632C8" w:rsidRDefault="00D21170">
            <w:pPr>
              <w:pStyle w:val="TableParagraph"/>
              <w:ind w:right="173"/>
              <w:rPr>
                <w:sz w:val="24"/>
              </w:rPr>
            </w:pPr>
            <w:r>
              <w:rPr>
                <w:spacing w:val="-10"/>
                <w:sz w:val="24"/>
              </w:rPr>
              <w:t>3</w:t>
            </w:r>
          </w:p>
        </w:tc>
      </w:tr>
      <w:tr w:rsidR="00E632C8">
        <w:trPr>
          <w:trHeight w:val="319"/>
        </w:trPr>
        <w:tc>
          <w:tcPr>
            <w:tcW w:w="3866" w:type="dxa"/>
            <w:tcBorders>
              <w:top w:val="single" w:sz="4" w:space="0" w:color="7E7E7E"/>
              <w:bottom w:val="single" w:sz="4" w:space="0" w:color="7E7E7E"/>
            </w:tcBorders>
          </w:tcPr>
          <w:p w:rsidR="00E632C8" w:rsidRDefault="00D21170">
            <w:pPr>
              <w:pStyle w:val="TableParagraph"/>
              <w:spacing w:before="2" w:line="240" w:lineRule="auto"/>
              <w:ind w:left="122"/>
              <w:jc w:val="left"/>
              <w:rPr>
                <w:sz w:val="24"/>
              </w:rPr>
            </w:pPr>
            <w:r>
              <w:rPr>
                <w:sz w:val="24"/>
              </w:rPr>
              <w:t>Overall</w:t>
            </w:r>
            <w:r>
              <w:rPr>
                <w:spacing w:val="-2"/>
                <w:sz w:val="24"/>
              </w:rPr>
              <w:t xml:space="preserve"> </w:t>
            </w:r>
            <w:r>
              <w:rPr>
                <w:sz w:val="24"/>
              </w:rPr>
              <w:t>Customer</w:t>
            </w:r>
            <w:r>
              <w:rPr>
                <w:spacing w:val="-2"/>
                <w:sz w:val="24"/>
              </w:rPr>
              <w:t xml:space="preserve"> Satisfaction</w:t>
            </w:r>
          </w:p>
        </w:tc>
        <w:tc>
          <w:tcPr>
            <w:tcW w:w="1831" w:type="dxa"/>
            <w:tcBorders>
              <w:top w:val="single" w:sz="4" w:space="0" w:color="7E7E7E"/>
              <w:bottom w:val="single" w:sz="4" w:space="0" w:color="7E7E7E"/>
            </w:tcBorders>
          </w:tcPr>
          <w:p w:rsidR="00E632C8" w:rsidRDefault="00D21170">
            <w:pPr>
              <w:pStyle w:val="TableParagraph"/>
              <w:spacing w:before="2" w:line="240" w:lineRule="auto"/>
              <w:ind w:right="570"/>
              <w:jc w:val="right"/>
              <w:rPr>
                <w:sz w:val="24"/>
              </w:rPr>
            </w:pPr>
            <w:r>
              <w:rPr>
                <w:spacing w:val="-4"/>
                <w:sz w:val="24"/>
              </w:rPr>
              <w:t>3.80</w:t>
            </w:r>
          </w:p>
        </w:tc>
        <w:tc>
          <w:tcPr>
            <w:tcW w:w="2490" w:type="dxa"/>
            <w:tcBorders>
              <w:top w:val="single" w:sz="4" w:space="0" w:color="7E7E7E"/>
              <w:bottom w:val="single" w:sz="4" w:space="0" w:color="7E7E7E"/>
            </w:tcBorders>
          </w:tcPr>
          <w:p w:rsidR="00E632C8" w:rsidRDefault="00D21170">
            <w:pPr>
              <w:pStyle w:val="TableParagraph"/>
              <w:spacing w:before="2" w:line="240" w:lineRule="auto"/>
              <w:ind w:left="4" w:right="52"/>
              <w:rPr>
                <w:sz w:val="24"/>
              </w:rPr>
            </w:pPr>
            <w:r>
              <w:rPr>
                <w:spacing w:val="-4"/>
                <w:sz w:val="24"/>
              </w:rPr>
              <w:t>0.60</w:t>
            </w:r>
          </w:p>
        </w:tc>
        <w:tc>
          <w:tcPr>
            <w:tcW w:w="1829" w:type="dxa"/>
            <w:tcBorders>
              <w:top w:val="single" w:sz="4" w:space="0" w:color="7E7E7E"/>
              <w:bottom w:val="single" w:sz="4" w:space="0" w:color="7E7E7E"/>
            </w:tcBorders>
          </w:tcPr>
          <w:p w:rsidR="00E632C8" w:rsidRDefault="00D21170">
            <w:pPr>
              <w:pStyle w:val="TableParagraph"/>
              <w:spacing w:before="2" w:line="240" w:lineRule="auto"/>
              <w:ind w:right="173"/>
              <w:rPr>
                <w:sz w:val="24"/>
              </w:rPr>
            </w:pPr>
            <w:r>
              <w:rPr>
                <w:sz w:val="24"/>
              </w:rPr>
              <w:t>—</w:t>
            </w:r>
          </w:p>
        </w:tc>
      </w:tr>
    </w:tbl>
    <w:p w:rsidR="00E632C8" w:rsidRDefault="00D21170">
      <w:pPr>
        <w:spacing w:line="276" w:lineRule="auto"/>
        <w:ind w:left="360" w:right="956"/>
        <w:jc w:val="both"/>
        <w:rPr>
          <w:i/>
          <w:sz w:val="24"/>
        </w:rPr>
      </w:pPr>
      <w:r>
        <w:rPr>
          <w:i/>
          <w:sz w:val="24"/>
        </w:rPr>
        <w:t>Source:</w:t>
      </w:r>
      <w:r>
        <w:rPr>
          <w:i/>
          <w:spacing w:val="-3"/>
          <w:sz w:val="24"/>
        </w:rPr>
        <w:t xml:space="preserve"> </w:t>
      </w:r>
      <w:r>
        <w:rPr>
          <w:i/>
          <w:sz w:val="24"/>
        </w:rPr>
        <w:t>SPSS</w:t>
      </w:r>
      <w:r>
        <w:rPr>
          <w:i/>
          <w:spacing w:val="-3"/>
          <w:sz w:val="24"/>
        </w:rPr>
        <w:t xml:space="preserve"> </w:t>
      </w:r>
      <w:r>
        <w:rPr>
          <w:i/>
          <w:sz w:val="24"/>
        </w:rPr>
        <w:t>Descriptive</w:t>
      </w:r>
      <w:r>
        <w:rPr>
          <w:i/>
          <w:spacing w:val="-4"/>
          <w:sz w:val="24"/>
        </w:rPr>
        <w:t xml:space="preserve"> </w:t>
      </w:r>
      <w:r>
        <w:rPr>
          <w:i/>
          <w:sz w:val="24"/>
        </w:rPr>
        <w:t>Statistics</w:t>
      </w:r>
      <w:r>
        <w:rPr>
          <w:i/>
          <w:spacing w:val="-4"/>
          <w:sz w:val="24"/>
        </w:rPr>
        <w:t xml:space="preserve"> </w:t>
      </w:r>
      <w:r>
        <w:rPr>
          <w:i/>
          <w:sz w:val="24"/>
        </w:rPr>
        <w:t>output,</w:t>
      </w:r>
      <w:r>
        <w:rPr>
          <w:i/>
          <w:spacing w:val="-3"/>
          <w:sz w:val="24"/>
        </w:rPr>
        <w:t xml:space="preserve"> </w:t>
      </w:r>
      <w:r>
        <w:rPr>
          <w:i/>
          <w:sz w:val="24"/>
        </w:rPr>
        <w:t>primary</w:t>
      </w:r>
      <w:r>
        <w:rPr>
          <w:i/>
          <w:spacing w:val="-4"/>
          <w:sz w:val="24"/>
        </w:rPr>
        <w:t xml:space="preserve"> </w:t>
      </w:r>
      <w:r>
        <w:rPr>
          <w:i/>
          <w:sz w:val="24"/>
        </w:rPr>
        <w:t>survey</w:t>
      </w:r>
      <w:r>
        <w:rPr>
          <w:i/>
          <w:spacing w:val="-4"/>
          <w:sz w:val="24"/>
        </w:rPr>
        <w:t xml:space="preserve"> </w:t>
      </w:r>
      <w:r>
        <w:rPr>
          <w:i/>
          <w:sz w:val="24"/>
        </w:rPr>
        <w:t>data</w:t>
      </w:r>
      <w:r>
        <w:rPr>
          <w:i/>
          <w:spacing w:val="-3"/>
          <w:sz w:val="24"/>
        </w:rPr>
        <w:t xml:space="preserve"> </w:t>
      </w:r>
      <w:r>
        <w:rPr>
          <w:i/>
          <w:sz w:val="24"/>
        </w:rPr>
        <w:t>(n</w:t>
      </w:r>
      <w:r>
        <w:rPr>
          <w:i/>
          <w:spacing w:val="-3"/>
          <w:sz w:val="24"/>
        </w:rPr>
        <w:t xml:space="preserve"> </w:t>
      </w:r>
      <w:r>
        <w:rPr>
          <w:i/>
          <w:sz w:val="24"/>
        </w:rPr>
        <w:t>=</w:t>
      </w:r>
      <w:r>
        <w:rPr>
          <w:i/>
          <w:spacing w:val="-3"/>
          <w:sz w:val="24"/>
        </w:rPr>
        <w:t xml:space="preserve"> </w:t>
      </w:r>
      <w:r>
        <w:rPr>
          <w:i/>
          <w:sz w:val="24"/>
        </w:rPr>
        <w:t>150).</w:t>
      </w:r>
      <w:r>
        <w:rPr>
          <w:i/>
          <w:spacing w:val="-1"/>
          <w:sz w:val="24"/>
        </w:rPr>
        <w:t xml:space="preserve"> </w:t>
      </w:r>
      <w:r>
        <w:rPr>
          <w:i/>
          <w:sz w:val="24"/>
        </w:rPr>
        <w:t>Scale:</w:t>
      </w:r>
      <w:r>
        <w:rPr>
          <w:i/>
          <w:spacing w:val="-5"/>
          <w:sz w:val="24"/>
        </w:rPr>
        <w:t xml:space="preserve"> </w:t>
      </w:r>
      <w:r>
        <w:rPr>
          <w:i/>
          <w:sz w:val="24"/>
        </w:rPr>
        <w:t>1</w:t>
      </w:r>
      <w:r>
        <w:rPr>
          <w:i/>
          <w:spacing w:val="-3"/>
          <w:sz w:val="24"/>
        </w:rPr>
        <w:t xml:space="preserve"> </w:t>
      </w:r>
      <w:r>
        <w:rPr>
          <w:i/>
          <w:sz w:val="24"/>
        </w:rPr>
        <w:t>=</w:t>
      </w:r>
      <w:r>
        <w:rPr>
          <w:i/>
          <w:spacing w:val="-2"/>
          <w:sz w:val="24"/>
        </w:rPr>
        <w:t xml:space="preserve"> </w:t>
      </w:r>
      <w:r>
        <w:rPr>
          <w:i/>
          <w:sz w:val="24"/>
        </w:rPr>
        <w:t>Strongly Disagree to 5 = Strongly Agree.</w:t>
      </w:r>
    </w:p>
    <w:p w:rsidR="00E632C8" w:rsidRDefault="00D21170">
      <w:pPr>
        <w:pStyle w:val="Heading1"/>
        <w:numPr>
          <w:ilvl w:val="1"/>
          <w:numId w:val="2"/>
        </w:numPr>
        <w:tabs>
          <w:tab w:val="left" w:pos="720"/>
        </w:tabs>
        <w:spacing w:line="275" w:lineRule="exact"/>
        <w:jc w:val="both"/>
      </w:pPr>
      <w:r>
        <w:t>Correlation</w:t>
      </w:r>
      <w:r>
        <w:rPr>
          <w:spacing w:val="-11"/>
        </w:rPr>
        <w:t xml:space="preserve"> </w:t>
      </w:r>
      <w:r>
        <w:rPr>
          <w:spacing w:val="-2"/>
        </w:rPr>
        <w:t>Analysis</w:t>
      </w:r>
    </w:p>
    <w:p w:rsidR="00E632C8" w:rsidRDefault="00D21170">
      <w:pPr>
        <w:pStyle w:val="BodyText"/>
        <w:spacing w:before="40" w:line="276" w:lineRule="auto"/>
        <w:ind w:right="722"/>
      </w:pPr>
      <w:r>
        <w:t>Pearson correlation coefficients were computed to examine the strength and direction of the relationship bet</w:t>
      </w:r>
      <w:r>
        <w:t>ween each service quality dimension and customer satisfaction, as well as the inter-correlations among the dimensions themselves. As shown in Table 4, all correlations are positive</w:t>
      </w:r>
      <w:r>
        <w:rPr>
          <w:spacing w:val="4"/>
        </w:rPr>
        <w:t xml:space="preserve"> </w:t>
      </w:r>
      <w:r>
        <w:t>and</w:t>
      </w:r>
      <w:r>
        <w:rPr>
          <w:spacing w:val="8"/>
        </w:rPr>
        <w:t xml:space="preserve"> </w:t>
      </w:r>
      <w:r>
        <w:t>statistically</w:t>
      </w:r>
      <w:r>
        <w:rPr>
          <w:spacing w:val="8"/>
        </w:rPr>
        <w:t xml:space="preserve"> </w:t>
      </w:r>
      <w:r>
        <w:t>significant</w:t>
      </w:r>
      <w:r>
        <w:rPr>
          <w:spacing w:val="8"/>
        </w:rPr>
        <w:t xml:space="preserve"> </w:t>
      </w:r>
      <w:r>
        <w:t>at</w:t>
      </w:r>
      <w:r>
        <w:rPr>
          <w:spacing w:val="7"/>
        </w:rPr>
        <w:t xml:space="preserve"> </w:t>
      </w:r>
      <w:r>
        <w:t>the</w:t>
      </w:r>
      <w:r>
        <w:rPr>
          <w:spacing w:val="7"/>
        </w:rPr>
        <w:t xml:space="preserve"> </w:t>
      </w:r>
      <w:r>
        <w:t>0.01</w:t>
      </w:r>
      <w:r>
        <w:rPr>
          <w:spacing w:val="8"/>
        </w:rPr>
        <w:t xml:space="preserve"> </w:t>
      </w:r>
      <w:r>
        <w:t>level.</w:t>
      </w:r>
      <w:r>
        <w:rPr>
          <w:spacing w:val="8"/>
        </w:rPr>
        <w:t xml:space="preserve"> </w:t>
      </w:r>
      <w:r>
        <w:t>Responsiveness</w:t>
      </w:r>
      <w:r>
        <w:rPr>
          <w:spacing w:val="8"/>
        </w:rPr>
        <w:t xml:space="preserve"> </w:t>
      </w:r>
      <w:r>
        <w:t>(r</w:t>
      </w:r>
      <w:r>
        <w:rPr>
          <w:spacing w:val="8"/>
        </w:rPr>
        <w:t xml:space="preserve"> </w:t>
      </w:r>
      <w:r>
        <w:t>=</w:t>
      </w:r>
      <w:r>
        <w:rPr>
          <w:spacing w:val="9"/>
        </w:rPr>
        <w:t xml:space="preserve"> </w:t>
      </w:r>
      <w:r>
        <w:t>0.67)</w:t>
      </w:r>
      <w:r>
        <w:rPr>
          <w:spacing w:val="7"/>
        </w:rPr>
        <w:t xml:space="preserve"> </w:t>
      </w:r>
      <w:r>
        <w:t>and</w:t>
      </w:r>
      <w:r>
        <w:rPr>
          <w:spacing w:val="8"/>
        </w:rPr>
        <w:t xml:space="preserve"> </w:t>
      </w:r>
      <w:r>
        <w:t>reliability</w:t>
      </w:r>
      <w:r>
        <w:rPr>
          <w:spacing w:val="8"/>
        </w:rPr>
        <w:t xml:space="preserve"> </w:t>
      </w:r>
      <w:r>
        <w:rPr>
          <w:spacing w:val="-5"/>
        </w:rPr>
        <w:t>(r</w:t>
      </w:r>
    </w:p>
    <w:p w:rsidR="00E632C8" w:rsidRDefault="00E632C8">
      <w:pPr>
        <w:pStyle w:val="BodyText"/>
        <w:spacing w:line="276" w:lineRule="auto"/>
        <w:sectPr w:rsidR="00E632C8">
          <w:pgSz w:w="12240" w:h="15840"/>
          <w:pgMar w:top="2600" w:right="720" w:bottom="1280" w:left="1080" w:header="718" w:footer="1094" w:gutter="0"/>
          <w:cols w:space="720"/>
        </w:sectPr>
      </w:pPr>
    </w:p>
    <w:p w:rsidR="00E632C8" w:rsidRDefault="00D21170">
      <w:pPr>
        <w:pStyle w:val="BodyText"/>
        <w:spacing w:before="272" w:line="276" w:lineRule="auto"/>
        <w:ind w:right="717"/>
      </w:pPr>
      <w:r>
        <w:t xml:space="preserve">= 0.63) show the strongest association with customer satisfaction, followed by assurance (r = 0.59), empathy (r = 0.52), and tangibility (r = 0.48). The moderate inter-correlations among the independent dimensions (ranging </w:t>
      </w:r>
      <w:r>
        <w:t>from 0.38 to 0.58) indicate that multicollinearity is unlikely to be a serious concern in the subsequent regression analysis.</w:t>
      </w:r>
    </w:p>
    <w:p w:rsidR="00E632C8" w:rsidRDefault="00D21170">
      <w:pPr>
        <w:pStyle w:val="Heading1"/>
        <w:spacing w:line="278" w:lineRule="auto"/>
        <w:ind w:left="360" w:right="1840" w:firstLine="0"/>
      </w:pPr>
      <w:r>
        <w:t>Table</w:t>
      </w:r>
      <w:r>
        <w:rPr>
          <w:spacing w:val="-4"/>
        </w:rPr>
        <w:t xml:space="preserve"> </w:t>
      </w:r>
      <w:r>
        <w:t>4.</w:t>
      </w:r>
      <w:r>
        <w:rPr>
          <w:spacing w:val="-4"/>
        </w:rPr>
        <w:t xml:space="preserve"> </w:t>
      </w:r>
      <w:r>
        <w:t>Pearson</w:t>
      </w:r>
      <w:r>
        <w:rPr>
          <w:spacing w:val="-4"/>
        </w:rPr>
        <w:t xml:space="preserve"> </w:t>
      </w:r>
      <w:r>
        <w:t>Correlation</w:t>
      </w:r>
      <w:r>
        <w:rPr>
          <w:spacing w:val="-4"/>
        </w:rPr>
        <w:t xml:space="preserve"> </w:t>
      </w:r>
      <w:r>
        <w:t>Matrix:</w:t>
      </w:r>
      <w:r>
        <w:rPr>
          <w:spacing w:val="-4"/>
        </w:rPr>
        <w:t xml:space="preserve"> </w:t>
      </w:r>
      <w:r>
        <w:t>Service</w:t>
      </w:r>
      <w:r>
        <w:rPr>
          <w:spacing w:val="-5"/>
        </w:rPr>
        <w:t xml:space="preserve"> </w:t>
      </w:r>
      <w:r>
        <w:t>Quality</w:t>
      </w:r>
      <w:r>
        <w:rPr>
          <w:spacing w:val="-4"/>
        </w:rPr>
        <w:t xml:space="preserve"> </w:t>
      </w:r>
      <w:r>
        <w:t>Dimensions</w:t>
      </w:r>
      <w:r>
        <w:rPr>
          <w:spacing w:val="-5"/>
        </w:rPr>
        <w:t xml:space="preserve"> </w:t>
      </w:r>
      <w:r>
        <w:t>and</w:t>
      </w:r>
      <w:r>
        <w:rPr>
          <w:spacing w:val="-6"/>
        </w:rPr>
        <w:t xml:space="preserve"> </w:t>
      </w:r>
      <w:r>
        <w:t xml:space="preserve">Customer </w:t>
      </w:r>
      <w:r>
        <w:rPr>
          <w:spacing w:val="-2"/>
        </w:rPr>
        <w:t>Satisfaction</w:t>
      </w:r>
    </w:p>
    <w:tbl>
      <w:tblPr>
        <w:tblW w:w="0" w:type="auto"/>
        <w:tblInd w:w="25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2961"/>
        <w:gridCol w:w="1126"/>
        <w:gridCol w:w="1181"/>
        <w:gridCol w:w="1180"/>
        <w:gridCol w:w="1180"/>
        <w:gridCol w:w="1270"/>
        <w:gridCol w:w="1091"/>
      </w:tblGrid>
      <w:tr w:rsidR="00E632C8">
        <w:trPr>
          <w:trHeight w:val="317"/>
        </w:trPr>
        <w:tc>
          <w:tcPr>
            <w:tcW w:w="2961" w:type="dxa"/>
            <w:tcBorders>
              <w:left w:val="nil"/>
              <w:right w:val="nil"/>
            </w:tcBorders>
          </w:tcPr>
          <w:p w:rsidR="00E632C8" w:rsidRDefault="00D21170">
            <w:pPr>
              <w:pStyle w:val="TableParagraph"/>
              <w:ind w:right="45"/>
              <w:rPr>
                <w:b/>
                <w:sz w:val="24"/>
              </w:rPr>
            </w:pPr>
            <w:r>
              <w:rPr>
                <w:b/>
                <w:spacing w:val="-2"/>
                <w:sz w:val="24"/>
              </w:rPr>
              <w:t>Variable</w:t>
            </w:r>
          </w:p>
        </w:tc>
        <w:tc>
          <w:tcPr>
            <w:tcW w:w="1126" w:type="dxa"/>
            <w:tcBorders>
              <w:left w:val="nil"/>
              <w:right w:val="nil"/>
            </w:tcBorders>
          </w:tcPr>
          <w:p w:rsidR="00E632C8" w:rsidRDefault="00D21170">
            <w:pPr>
              <w:pStyle w:val="TableParagraph"/>
              <w:ind w:left="1" w:right="53"/>
              <w:rPr>
                <w:b/>
                <w:sz w:val="24"/>
              </w:rPr>
            </w:pPr>
            <w:r>
              <w:rPr>
                <w:b/>
                <w:spacing w:val="-5"/>
                <w:sz w:val="24"/>
              </w:rPr>
              <w:t>REL</w:t>
            </w:r>
          </w:p>
        </w:tc>
        <w:tc>
          <w:tcPr>
            <w:tcW w:w="1181" w:type="dxa"/>
            <w:tcBorders>
              <w:left w:val="nil"/>
              <w:right w:val="nil"/>
            </w:tcBorders>
          </w:tcPr>
          <w:p w:rsidR="00E632C8" w:rsidRDefault="00D21170">
            <w:pPr>
              <w:pStyle w:val="TableParagraph"/>
              <w:ind w:left="1" w:right="1"/>
              <w:rPr>
                <w:b/>
                <w:sz w:val="24"/>
              </w:rPr>
            </w:pPr>
            <w:r>
              <w:rPr>
                <w:b/>
                <w:spacing w:val="-5"/>
                <w:sz w:val="24"/>
              </w:rPr>
              <w:t>RES</w:t>
            </w:r>
          </w:p>
        </w:tc>
        <w:tc>
          <w:tcPr>
            <w:tcW w:w="1180" w:type="dxa"/>
            <w:tcBorders>
              <w:left w:val="nil"/>
              <w:right w:val="nil"/>
            </w:tcBorders>
          </w:tcPr>
          <w:p w:rsidR="00E632C8" w:rsidRDefault="00D21170">
            <w:pPr>
              <w:pStyle w:val="TableParagraph"/>
              <w:ind w:left="2" w:right="1"/>
              <w:rPr>
                <w:b/>
                <w:sz w:val="24"/>
              </w:rPr>
            </w:pPr>
            <w:r>
              <w:rPr>
                <w:b/>
                <w:spacing w:val="-5"/>
                <w:sz w:val="24"/>
              </w:rPr>
              <w:t>ASS</w:t>
            </w:r>
          </w:p>
        </w:tc>
        <w:tc>
          <w:tcPr>
            <w:tcW w:w="1180" w:type="dxa"/>
            <w:tcBorders>
              <w:left w:val="nil"/>
              <w:right w:val="nil"/>
            </w:tcBorders>
          </w:tcPr>
          <w:p w:rsidR="00E632C8" w:rsidRDefault="00D21170">
            <w:pPr>
              <w:pStyle w:val="TableParagraph"/>
              <w:ind w:left="2" w:right="2"/>
              <w:rPr>
                <w:b/>
                <w:sz w:val="24"/>
              </w:rPr>
            </w:pPr>
            <w:r>
              <w:rPr>
                <w:b/>
                <w:spacing w:val="-5"/>
                <w:sz w:val="24"/>
              </w:rPr>
              <w:t>EMP</w:t>
            </w:r>
          </w:p>
        </w:tc>
        <w:tc>
          <w:tcPr>
            <w:tcW w:w="1270" w:type="dxa"/>
            <w:tcBorders>
              <w:left w:val="nil"/>
              <w:right w:val="nil"/>
            </w:tcBorders>
          </w:tcPr>
          <w:p w:rsidR="00E632C8" w:rsidRDefault="00D21170">
            <w:pPr>
              <w:pStyle w:val="TableParagraph"/>
              <w:ind w:left="1" w:right="88"/>
              <w:rPr>
                <w:b/>
                <w:sz w:val="24"/>
              </w:rPr>
            </w:pPr>
            <w:r>
              <w:rPr>
                <w:b/>
                <w:spacing w:val="-5"/>
                <w:sz w:val="24"/>
              </w:rPr>
              <w:t>TAN</w:t>
            </w:r>
          </w:p>
        </w:tc>
        <w:tc>
          <w:tcPr>
            <w:tcW w:w="1091" w:type="dxa"/>
            <w:tcBorders>
              <w:left w:val="nil"/>
              <w:right w:val="nil"/>
            </w:tcBorders>
          </w:tcPr>
          <w:p w:rsidR="00E632C8" w:rsidRDefault="00D21170">
            <w:pPr>
              <w:pStyle w:val="TableParagraph"/>
              <w:ind w:right="86"/>
              <w:rPr>
                <w:b/>
                <w:sz w:val="24"/>
              </w:rPr>
            </w:pPr>
            <w:r>
              <w:rPr>
                <w:b/>
                <w:spacing w:val="-5"/>
                <w:sz w:val="24"/>
              </w:rPr>
              <w:t>CS</w:t>
            </w:r>
          </w:p>
        </w:tc>
      </w:tr>
      <w:tr w:rsidR="00E632C8">
        <w:trPr>
          <w:trHeight w:val="318"/>
        </w:trPr>
        <w:tc>
          <w:tcPr>
            <w:tcW w:w="2961" w:type="dxa"/>
            <w:tcBorders>
              <w:left w:val="nil"/>
              <w:right w:val="nil"/>
            </w:tcBorders>
          </w:tcPr>
          <w:p w:rsidR="00E632C8" w:rsidRDefault="00D21170">
            <w:pPr>
              <w:pStyle w:val="TableParagraph"/>
              <w:ind w:left="115"/>
              <w:jc w:val="left"/>
              <w:rPr>
                <w:sz w:val="24"/>
              </w:rPr>
            </w:pPr>
            <w:r>
              <w:rPr>
                <w:sz w:val="24"/>
              </w:rPr>
              <w:t>Reliability</w:t>
            </w:r>
            <w:r>
              <w:rPr>
                <w:spacing w:val="-2"/>
                <w:sz w:val="24"/>
              </w:rPr>
              <w:t xml:space="preserve"> (REL)</w:t>
            </w:r>
          </w:p>
        </w:tc>
        <w:tc>
          <w:tcPr>
            <w:tcW w:w="1126" w:type="dxa"/>
            <w:tcBorders>
              <w:left w:val="nil"/>
              <w:right w:val="nil"/>
            </w:tcBorders>
          </w:tcPr>
          <w:p w:rsidR="00E632C8" w:rsidRDefault="00D21170">
            <w:pPr>
              <w:pStyle w:val="TableParagraph"/>
              <w:ind w:left="2" w:right="53"/>
              <w:rPr>
                <w:sz w:val="24"/>
              </w:rPr>
            </w:pPr>
            <w:r>
              <w:rPr>
                <w:spacing w:val="-10"/>
                <w:sz w:val="24"/>
              </w:rPr>
              <w:t>1</w:t>
            </w:r>
          </w:p>
        </w:tc>
        <w:tc>
          <w:tcPr>
            <w:tcW w:w="1181" w:type="dxa"/>
            <w:tcBorders>
              <w:left w:val="nil"/>
              <w:right w:val="nil"/>
            </w:tcBorders>
          </w:tcPr>
          <w:p w:rsidR="00E632C8" w:rsidRDefault="00E632C8">
            <w:pPr>
              <w:pStyle w:val="TableParagraph"/>
              <w:spacing w:line="240" w:lineRule="auto"/>
              <w:jc w:val="left"/>
              <w:rPr>
                <w:sz w:val="24"/>
              </w:rPr>
            </w:pPr>
          </w:p>
        </w:tc>
        <w:tc>
          <w:tcPr>
            <w:tcW w:w="1180" w:type="dxa"/>
            <w:tcBorders>
              <w:left w:val="nil"/>
              <w:right w:val="nil"/>
            </w:tcBorders>
          </w:tcPr>
          <w:p w:rsidR="00E632C8" w:rsidRDefault="00E632C8">
            <w:pPr>
              <w:pStyle w:val="TableParagraph"/>
              <w:spacing w:line="240" w:lineRule="auto"/>
              <w:jc w:val="left"/>
              <w:rPr>
                <w:sz w:val="24"/>
              </w:rPr>
            </w:pPr>
          </w:p>
        </w:tc>
        <w:tc>
          <w:tcPr>
            <w:tcW w:w="1180" w:type="dxa"/>
            <w:tcBorders>
              <w:left w:val="nil"/>
              <w:right w:val="nil"/>
            </w:tcBorders>
          </w:tcPr>
          <w:p w:rsidR="00E632C8" w:rsidRDefault="00E632C8">
            <w:pPr>
              <w:pStyle w:val="TableParagraph"/>
              <w:spacing w:line="240" w:lineRule="auto"/>
              <w:jc w:val="left"/>
              <w:rPr>
                <w:sz w:val="24"/>
              </w:rPr>
            </w:pPr>
          </w:p>
        </w:tc>
        <w:tc>
          <w:tcPr>
            <w:tcW w:w="1270" w:type="dxa"/>
            <w:tcBorders>
              <w:left w:val="nil"/>
              <w:right w:val="nil"/>
            </w:tcBorders>
          </w:tcPr>
          <w:p w:rsidR="00E632C8" w:rsidRDefault="00E632C8">
            <w:pPr>
              <w:pStyle w:val="TableParagraph"/>
              <w:spacing w:line="240" w:lineRule="auto"/>
              <w:jc w:val="left"/>
              <w:rPr>
                <w:sz w:val="24"/>
              </w:rPr>
            </w:pPr>
          </w:p>
        </w:tc>
        <w:tc>
          <w:tcPr>
            <w:tcW w:w="1091" w:type="dxa"/>
            <w:tcBorders>
              <w:left w:val="nil"/>
              <w:right w:val="nil"/>
            </w:tcBorders>
          </w:tcPr>
          <w:p w:rsidR="00E632C8" w:rsidRDefault="00E632C8">
            <w:pPr>
              <w:pStyle w:val="TableParagraph"/>
              <w:spacing w:line="240" w:lineRule="auto"/>
              <w:jc w:val="left"/>
              <w:rPr>
                <w:sz w:val="24"/>
              </w:rPr>
            </w:pPr>
          </w:p>
        </w:tc>
      </w:tr>
      <w:tr w:rsidR="00E632C8">
        <w:trPr>
          <w:trHeight w:val="316"/>
        </w:trPr>
        <w:tc>
          <w:tcPr>
            <w:tcW w:w="2961" w:type="dxa"/>
            <w:tcBorders>
              <w:left w:val="nil"/>
              <w:right w:val="nil"/>
            </w:tcBorders>
          </w:tcPr>
          <w:p w:rsidR="00E632C8" w:rsidRDefault="00D21170">
            <w:pPr>
              <w:pStyle w:val="TableParagraph"/>
              <w:ind w:left="115"/>
              <w:jc w:val="left"/>
              <w:rPr>
                <w:sz w:val="24"/>
              </w:rPr>
            </w:pPr>
            <w:r>
              <w:rPr>
                <w:sz w:val="24"/>
              </w:rPr>
              <w:t>Responsiveness</w:t>
            </w:r>
            <w:r>
              <w:rPr>
                <w:spacing w:val="-5"/>
                <w:sz w:val="24"/>
              </w:rPr>
              <w:t xml:space="preserve"> </w:t>
            </w:r>
            <w:r>
              <w:rPr>
                <w:spacing w:val="-2"/>
                <w:sz w:val="24"/>
              </w:rPr>
              <w:t>(RES)</w:t>
            </w:r>
          </w:p>
        </w:tc>
        <w:tc>
          <w:tcPr>
            <w:tcW w:w="1126" w:type="dxa"/>
            <w:tcBorders>
              <w:left w:val="nil"/>
              <w:right w:val="nil"/>
            </w:tcBorders>
          </w:tcPr>
          <w:p w:rsidR="00E632C8" w:rsidRDefault="00D21170">
            <w:pPr>
              <w:pStyle w:val="TableParagraph"/>
              <w:ind w:right="53"/>
              <w:rPr>
                <w:sz w:val="24"/>
              </w:rPr>
            </w:pPr>
            <w:r>
              <w:rPr>
                <w:spacing w:val="-2"/>
                <w:sz w:val="24"/>
              </w:rPr>
              <w:t>0.58**</w:t>
            </w:r>
          </w:p>
        </w:tc>
        <w:tc>
          <w:tcPr>
            <w:tcW w:w="1181" w:type="dxa"/>
            <w:tcBorders>
              <w:left w:val="nil"/>
              <w:right w:val="nil"/>
            </w:tcBorders>
          </w:tcPr>
          <w:p w:rsidR="00E632C8" w:rsidRDefault="00D21170">
            <w:pPr>
              <w:pStyle w:val="TableParagraph"/>
              <w:ind w:left="2" w:right="1"/>
              <w:rPr>
                <w:sz w:val="24"/>
              </w:rPr>
            </w:pPr>
            <w:r>
              <w:rPr>
                <w:spacing w:val="-10"/>
                <w:sz w:val="24"/>
              </w:rPr>
              <w:t>1</w:t>
            </w:r>
          </w:p>
        </w:tc>
        <w:tc>
          <w:tcPr>
            <w:tcW w:w="1180" w:type="dxa"/>
            <w:tcBorders>
              <w:left w:val="nil"/>
              <w:right w:val="nil"/>
            </w:tcBorders>
          </w:tcPr>
          <w:p w:rsidR="00E632C8" w:rsidRDefault="00E632C8">
            <w:pPr>
              <w:pStyle w:val="TableParagraph"/>
              <w:spacing w:line="240" w:lineRule="auto"/>
              <w:jc w:val="left"/>
              <w:rPr>
                <w:sz w:val="24"/>
              </w:rPr>
            </w:pPr>
          </w:p>
        </w:tc>
        <w:tc>
          <w:tcPr>
            <w:tcW w:w="1180" w:type="dxa"/>
            <w:tcBorders>
              <w:left w:val="nil"/>
              <w:right w:val="nil"/>
            </w:tcBorders>
          </w:tcPr>
          <w:p w:rsidR="00E632C8" w:rsidRDefault="00E632C8">
            <w:pPr>
              <w:pStyle w:val="TableParagraph"/>
              <w:spacing w:line="240" w:lineRule="auto"/>
              <w:jc w:val="left"/>
              <w:rPr>
                <w:sz w:val="24"/>
              </w:rPr>
            </w:pPr>
          </w:p>
        </w:tc>
        <w:tc>
          <w:tcPr>
            <w:tcW w:w="1270" w:type="dxa"/>
            <w:tcBorders>
              <w:left w:val="nil"/>
              <w:right w:val="nil"/>
            </w:tcBorders>
          </w:tcPr>
          <w:p w:rsidR="00E632C8" w:rsidRDefault="00E632C8">
            <w:pPr>
              <w:pStyle w:val="TableParagraph"/>
              <w:spacing w:line="240" w:lineRule="auto"/>
              <w:jc w:val="left"/>
              <w:rPr>
                <w:sz w:val="24"/>
              </w:rPr>
            </w:pPr>
          </w:p>
        </w:tc>
        <w:tc>
          <w:tcPr>
            <w:tcW w:w="1091" w:type="dxa"/>
            <w:tcBorders>
              <w:left w:val="nil"/>
              <w:right w:val="nil"/>
            </w:tcBorders>
          </w:tcPr>
          <w:p w:rsidR="00E632C8" w:rsidRDefault="00E632C8">
            <w:pPr>
              <w:pStyle w:val="TableParagraph"/>
              <w:spacing w:line="240" w:lineRule="auto"/>
              <w:jc w:val="left"/>
              <w:rPr>
                <w:sz w:val="24"/>
              </w:rPr>
            </w:pPr>
          </w:p>
        </w:tc>
      </w:tr>
      <w:tr w:rsidR="00E632C8">
        <w:trPr>
          <w:trHeight w:val="316"/>
        </w:trPr>
        <w:tc>
          <w:tcPr>
            <w:tcW w:w="2961" w:type="dxa"/>
            <w:tcBorders>
              <w:left w:val="nil"/>
              <w:right w:val="nil"/>
            </w:tcBorders>
          </w:tcPr>
          <w:p w:rsidR="00E632C8" w:rsidRDefault="00D21170">
            <w:pPr>
              <w:pStyle w:val="TableParagraph"/>
              <w:ind w:left="115"/>
              <w:jc w:val="left"/>
              <w:rPr>
                <w:sz w:val="24"/>
              </w:rPr>
            </w:pPr>
            <w:r>
              <w:rPr>
                <w:sz w:val="24"/>
              </w:rPr>
              <w:t>Assurance</w:t>
            </w:r>
            <w:r>
              <w:rPr>
                <w:spacing w:val="-2"/>
                <w:sz w:val="24"/>
              </w:rPr>
              <w:t xml:space="preserve"> (ASS)</w:t>
            </w:r>
          </w:p>
        </w:tc>
        <w:tc>
          <w:tcPr>
            <w:tcW w:w="1126" w:type="dxa"/>
            <w:tcBorders>
              <w:left w:val="nil"/>
              <w:right w:val="nil"/>
            </w:tcBorders>
          </w:tcPr>
          <w:p w:rsidR="00E632C8" w:rsidRDefault="00D21170">
            <w:pPr>
              <w:pStyle w:val="TableParagraph"/>
              <w:ind w:right="53"/>
              <w:rPr>
                <w:sz w:val="24"/>
              </w:rPr>
            </w:pPr>
            <w:r>
              <w:rPr>
                <w:spacing w:val="-2"/>
                <w:sz w:val="24"/>
              </w:rPr>
              <w:t>0.49**</w:t>
            </w:r>
          </w:p>
        </w:tc>
        <w:tc>
          <w:tcPr>
            <w:tcW w:w="1181" w:type="dxa"/>
            <w:tcBorders>
              <w:left w:val="nil"/>
              <w:right w:val="nil"/>
            </w:tcBorders>
          </w:tcPr>
          <w:p w:rsidR="00E632C8" w:rsidRDefault="00D21170">
            <w:pPr>
              <w:pStyle w:val="TableParagraph"/>
              <w:ind w:left="1" w:right="2"/>
              <w:rPr>
                <w:sz w:val="24"/>
              </w:rPr>
            </w:pPr>
            <w:r>
              <w:rPr>
                <w:spacing w:val="-2"/>
                <w:sz w:val="24"/>
              </w:rPr>
              <w:t>0.52**</w:t>
            </w:r>
          </w:p>
        </w:tc>
        <w:tc>
          <w:tcPr>
            <w:tcW w:w="1180" w:type="dxa"/>
            <w:tcBorders>
              <w:left w:val="nil"/>
              <w:right w:val="nil"/>
            </w:tcBorders>
          </w:tcPr>
          <w:p w:rsidR="00E632C8" w:rsidRDefault="00D21170">
            <w:pPr>
              <w:pStyle w:val="TableParagraph"/>
              <w:ind w:left="2"/>
              <w:rPr>
                <w:sz w:val="24"/>
              </w:rPr>
            </w:pPr>
            <w:r>
              <w:rPr>
                <w:spacing w:val="-10"/>
                <w:sz w:val="24"/>
              </w:rPr>
              <w:t>1</w:t>
            </w:r>
          </w:p>
        </w:tc>
        <w:tc>
          <w:tcPr>
            <w:tcW w:w="1180" w:type="dxa"/>
            <w:tcBorders>
              <w:left w:val="nil"/>
              <w:right w:val="nil"/>
            </w:tcBorders>
          </w:tcPr>
          <w:p w:rsidR="00E632C8" w:rsidRDefault="00E632C8">
            <w:pPr>
              <w:pStyle w:val="TableParagraph"/>
              <w:spacing w:line="240" w:lineRule="auto"/>
              <w:jc w:val="left"/>
              <w:rPr>
                <w:sz w:val="24"/>
              </w:rPr>
            </w:pPr>
          </w:p>
        </w:tc>
        <w:tc>
          <w:tcPr>
            <w:tcW w:w="1270" w:type="dxa"/>
            <w:tcBorders>
              <w:left w:val="nil"/>
              <w:right w:val="nil"/>
            </w:tcBorders>
          </w:tcPr>
          <w:p w:rsidR="00E632C8" w:rsidRDefault="00E632C8">
            <w:pPr>
              <w:pStyle w:val="TableParagraph"/>
              <w:spacing w:line="240" w:lineRule="auto"/>
              <w:jc w:val="left"/>
              <w:rPr>
                <w:sz w:val="24"/>
              </w:rPr>
            </w:pPr>
          </w:p>
        </w:tc>
        <w:tc>
          <w:tcPr>
            <w:tcW w:w="1091" w:type="dxa"/>
            <w:tcBorders>
              <w:left w:val="nil"/>
              <w:right w:val="nil"/>
            </w:tcBorders>
          </w:tcPr>
          <w:p w:rsidR="00E632C8" w:rsidRDefault="00E632C8">
            <w:pPr>
              <w:pStyle w:val="TableParagraph"/>
              <w:spacing w:line="240" w:lineRule="auto"/>
              <w:jc w:val="left"/>
              <w:rPr>
                <w:sz w:val="24"/>
              </w:rPr>
            </w:pPr>
          </w:p>
        </w:tc>
      </w:tr>
      <w:tr w:rsidR="00E632C8">
        <w:trPr>
          <w:trHeight w:val="318"/>
        </w:trPr>
        <w:tc>
          <w:tcPr>
            <w:tcW w:w="2961" w:type="dxa"/>
            <w:tcBorders>
              <w:left w:val="nil"/>
              <w:right w:val="nil"/>
            </w:tcBorders>
          </w:tcPr>
          <w:p w:rsidR="00E632C8" w:rsidRDefault="00D21170">
            <w:pPr>
              <w:pStyle w:val="TableParagraph"/>
              <w:spacing w:before="1" w:line="240" w:lineRule="auto"/>
              <w:ind w:left="115"/>
              <w:jc w:val="left"/>
              <w:rPr>
                <w:sz w:val="24"/>
              </w:rPr>
            </w:pPr>
            <w:r>
              <w:rPr>
                <w:sz w:val="24"/>
              </w:rPr>
              <w:t>Empathy</w:t>
            </w:r>
            <w:r>
              <w:rPr>
                <w:spacing w:val="-1"/>
                <w:sz w:val="24"/>
              </w:rPr>
              <w:t xml:space="preserve"> </w:t>
            </w:r>
            <w:r>
              <w:rPr>
                <w:spacing w:val="-2"/>
                <w:sz w:val="24"/>
              </w:rPr>
              <w:t>(EMP)</w:t>
            </w:r>
          </w:p>
        </w:tc>
        <w:tc>
          <w:tcPr>
            <w:tcW w:w="1126" w:type="dxa"/>
            <w:tcBorders>
              <w:left w:val="nil"/>
              <w:right w:val="nil"/>
            </w:tcBorders>
          </w:tcPr>
          <w:p w:rsidR="00E632C8" w:rsidRDefault="00D21170">
            <w:pPr>
              <w:pStyle w:val="TableParagraph"/>
              <w:spacing w:before="1" w:line="240" w:lineRule="auto"/>
              <w:ind w:right="53"/>
              <w:rPr>
                <w:sz w:val="24"/>
              </w:rPr>
            </w:pPr>
            <w:r>
              <w:rPr>
                <w:spacing w:val="-2"/>
                <w:sz w:val="24"/>
              </w:rPr>
              <w:t>0.41**</w:t>
            </w:r>
          </w:p>
        </w:tc>
        <w:tc>
          <w:tcPr>
            <w:tcW w:w="1181" w:type="dxa"/>
            <w:tcBorders>
              <w:left w:val="nil"/>
              <w:right w:val="nil"/>
            </w:tcBorders>
          </w:tcPr>
          <w:p w:rsidR="00E632C8" w:rsidRDefault="00D21170">
            <w:pPr>
              <w:pStyle w:val="TableParagraph"/>
              <w:spacing w:before="1" w:line="240" w:lineRule="auto"/>
              <w:ind w:left="1" w:right="2"/>
              <w:rPr>
                <w:sz w:val="24"/>
              </w:rPr>
            </w:pPr>
            <w:r>
              <w:rPr>
                <w:spacing w:val="-2"/>
                <w:sz w:val="24"/>
              </w:rPr>
              <w:t>0.47**</w:t>
            </w:r>
          </w:p>
        </w:tc>
        <w:tc>
          <w:tcPr>
            <w:tcW w:w="1180" w:type="dxa"/>
            <w:tcBorders>
              <w:left w:val="nil"/>
              <w:right w:val="nil"/>
            </w:tcBorders>
          </w:tcPr>
          <w:p w:rsidR="00E632C8" w:rsidRDefault="00D21170">
            <w:pPr>
              <w:pStyle w:val="TableParagraph"/>
              <w:spacing w:before="1" w:line="240" w:lineRule="auto"/>
              <w:ind w:left="2" w:right="2"/>
              <w:rPr>
                <w:sz w:val="24"/>
              </w:rPr>
            </w:pPr>
            <w:r>
              <w:rPr>
                <w:spacing w:val="-2"/>
                <w:sz w:val="24"/>
              </w:rPr>
              <w:t>0.55**</w:t>
            </w:r>
          </w:p>
        </w:tc>
        <w:tc>
          <w:tcPr>
            <w:tcW w:w="1180" w:type="dxa"/>
            <w:tcBorders>
              <w:left w:val="nil"/>
              <w:right w:val="nil"/>
            </w:tcBorders>
          </w:tcPr>
          <w:p w:rsidR="00E632C8" w:rsidRDefault="00D21170">
            <w:pPr>
              <w:pStyle w:val="TableParagraph"/>
              <w:spacing w:before="1" w:line="240" w:lineRule="auto"/>
              <w:ind w:left="2" w:right="2"/>
              <w:rPr>
                <w:sz w:val="24"/>
              </w:rPr>
            </w:pPr>
            <w:r>
              <w:rPr>
                <w:spacing w:val="-10"/>
                <w:sz w:val="24"/>
              </w:rPr>
              <w:t>1</w:t>
            </w:r>
          </w:p>
        </w:tc>
        <w:tc>
          <w:tcPr>
            <w:tcW w:w="1270" w:type="dxa"/>
            <w:tcBorders>
              <w:left w:val="nil"/>
              <w:right w:val="nil"/>
            </w:tcBorders>
          </w:tcPr>
          <w:p w:rsidR="00E632C8" w:rsidRDefault="00E632C8">
            <w:pPr>
              <w:pStyle w:val="TableParagraph"/>
              <w:spacing w:line="240" w:lineRule="auto"/>
              <w:jc w:val="left"/>
              <w:rPr>
                <w:sz w:val="24"/>
              </w:rPr>
            </w:pPr>
          </w:p>
        </w:tc>
        <w:tc>
          <w:tcPr>
            <w:tcW w:w="1091" w:type="dxa"/>
            <w:tcBorders>
              <w:left w:val="nil"/>
              <w:right w:val="nil"/>
            </w:tcBorders>
          </w:tcPr>
          <w:p w:rsidR="00E632C8" w:rsidRDefault="00E632C8">
            <w:pPr>
              <w:pStyle w:val="TableParagraph"/>
              <w:spacing w:line="240" w:lineRule="auto"/>
              <w:jc w:val="left"/>
              <w:rPr>
                <w:sz w:val="24"/>
              </w:rPr>
            </w:pPr>
          </w:p>
        </w:tc>
      </w:tr>
      <w:tr w:rsidR="00E632C8">
        <w:trPr>
          <w:trHeight w:val="316"/>
        </w:trPr>
        <w:tc>
          <w:tcPr>
            <w:tcW w:w="2961" w:type="dxa"/>
            <w:tcBorders>
              <w:left w:val="nil"/>
              <w:right w:val="nil"/>
            </w:tcBorders>
          </w:tcPr>
          <w:p w:rsidR="00E632C8" w:rsidRDefault="00D21170">
            <w:pPr>
              <w:pStyle w:val="TableParagraph"/>
              <w:ind w:left="115"/>
              <w:jc w:val="left"/>
              <w:rPr>
                <w:sz w:val="24"/>
              </w:rPr>
            </w:pPr>
            <w:r>
              <w:rPr>
                <w:sz w:val="24"/>
              </w:rPr>
              <w:t>Tangibility</w:t>
            </w:r>
            <w:r>
              <w:rPr>
                <w:spacing w:val="-2"/>
                <w:sz w:val="24"/>
              </w:rPr>
              <w:t xml:space="preserve"> (TAN)</w:t>
            </w:r>
          </w:p>
        </w:tc>
        <w:tc>
          <w:tcPr>
            <w:tcW w:w="1126" w:type="dxa"/>
            <w:tcBorders>
              <w:left w:val="nil"/>
              <w:right w:val="nil"/>
            </w:tcBorders>
          </w:tcPr>
          <w:p w:rsidR="00E632C8" w:rsidRDefault="00D21170">
            <w:pPr>
              <w:pStyle w:val="TableParagraph"/>
              <w:ind w:right="53"/>
              <w:rPr>
                <w:sz w:val="24"/>
              </w:rPr>
            </w:pPr>
            <w:r>
              <w:rPr>
                <w:spacing w:val="-2"/>
                <w:sz w:val="24"/>
              </w:rPr>
              <w:t>0.38**</w:t>
            </w:r>
          </w:p>
        </w:tc>
        <w:tc>
          <w:tcPr>
            <w:tcW w:w="1181" w:type="dxa"/>
            <w:tcBorders>
              <w:left w:val="nil"/>
              <w:right w:val="nil"/>
            </w:tcBorders>
          </w:tcPr>
          <w:p w:rsidR="00E632C8" w:rsidRDefault="00D21170">
            <w:pPr>
              <w:pStyle w:val="TableParagraph"/>
              <w:ind w:left="1" w:right="2"/>
              <w:rPr>
                <w:sz w:val="24"/>
              </w:rPr>
            </w:pPr>
            <w:r>
              <w:rPr>
                <w:spacing w:val="-2"/>
                <w:sz w:val="24"/>
              </w:rPr>
              <w:t>0.44**</w:t>
            </w:r>
          </w:p>
        </w:tc>
        <w:tc>
          <w:tcPr>
            <w:tcW w:w="1180" w:type="dxa"/>
            <w:tcBorders>
              <w:left w:val="nil"/>
              <w:right w:val="nil"/>
            </w:tcBorders>
          </w:tcPr>
          <w:p w:rsidR="00E632C8" w:rsidRDefault="00D21170">
            <w:pPr>
              <w:pStyle w:val="TableParagraph"/>
              <w:ind w:left="2" w:right="2"/>
              <w:rPr>
                <w:sz w:val="24"/>
              </w:rPr>
            </w:pPr>
            <w:r>
              <w:rPr>
                <w:spacing w:val="-2"/>
                <w:sz w:val="24"/>
              </w:rPr>
              <w:t>0.46**</w:t>
            </w:r>
          </w:p>
        </w:tc>
        <w:tc>
          <w:tcPr>
            <w:tcW w:w="1180" w:type="dxa"/>
            <w:tcBorders>
              <w:left w:val="nil"/>
              <w:right w:val="nil"/>
            </w:tcBorders>
          </w:tcPr>
          <w:p w:rsidR="00E632C8" w:rsidRDefault="00D21170">
            <w:pPr>
              <w:pStyle w:val="TableParagraph"/>
              <w:ind w:left="2" w:right="2"/>
              <w:rPr>
                <w:sz w:val="24"/>
              </w:rPr>
            </w:pPr>
            <w:r>
              <w:rPr>
                <w:spacing w:val="-2"/>
                <w:sz w:val="24"/>
              </w:rPr>
              <w:t>0.50**</w:t>
            </w:r>
          </w:p>
        </w:tc>
        <w:tc>
          <w:tcPr>
            <w:tcW w:w="1270" w:type="dxa"/>
            <w:tcBorders>
              <w:left w:val="nil"/>
              <w:right w:val="nil"/>
            </w:tcBorders>
          </w:tcPr>
          <w:p w:rsidR="00E632C8" w:rsidRDefault="00D21170">
            <w:pPr>
              <w:pStyle w:val="TableParagraph"/>
              <w:ind w:left="3" w:right="88"/>
              <w:rPr>
                <w:sz w:val="24"/>
              </w:rPr>
            </w:pPr>
            <w:r>
              <w:rPr>
                <w:spacing w:val="-10"/>
                <w:sz w:val="24"/>
              </w:rPr>
              <w:t>1</w:t>
            </w:r>
          </w:p>
        </w:tc>
        <w:tc>
          <w:tcPr>
            <w:tcW w:w="1091" w:type="dxa"/>
            <w:tcBorders>
              <w:left w:val="nil"/>
              <w:right w:val="nil"/>
            </w:tcBorders>
          </w:tcPr>
          <w:p w:rsidR="00E632C8" w:rsidRDefault="00E632C8">
            <w:pPr>
              <w:pStyle w:val="TableParagraph"/>
              <w:spacing w:line="240" w:lineRule="auto"/>
              <w:jc w:val="left"/>
              <w:rPr>
                <w:sz w:val="24"/>
              </w:rPr>
            </w:pPr>
          </w:p>
        </w:tc>
      </w:tr>
      <w:tr w:rsidR="00E632C8">
        <w:trPr>
          <w:trHeight w:val="318"/>
        </w:trPr>
        <w:tc>
          <w:tcPr>
            <w:tcW w:w="2961" w:type="dxa"/>
            <w:tcBorders>
              <w:left w:val="nil"/>
              <w:right w:val="nil"/>
            </w:tcBorders>
          </w:tcPr>
          <w:p w:rsidR="00E632C8" w:rsidRDefault="00D21170">
            <w:pPr>
              <w:pStyle w:val="TableParagraph"/>
              <w:ind w:left="115"/>
              <w:jc w:val="left"/>
              <w:rPr>
                <w:sz w:val="24"/>
              </w:rPr>
            </w:pPr>
            <w:r>
              <w:rPr>
                <w:sz w:val="24"/>
              </w:rPr>
              <w:t>Customer</w:t>
            </w:r>
            <w:r>
              <w:rPr>
                <w:spacing w:val="-2"/>
                <w:sz w:val="24"/>
              </w:rPr>
              <w:t xml:space="preserve"> </w:t>
            </w:r>
            <w:r>
              <w:rPr>
                <w:sz w:val="24"/>
              </w:rPr>
              <w:t>Satisfaction</w:t>
            </w:r>
            <w:r>
              <w:rPr>
                <w:spacing w:val="-1"/>
                <w:sz w:val="24"/>
              </w:rPr>
              <w:t xml:space="preserve"> </w:t>
            </w:r>
            <w:r>
              <w:rPr>
                <w:spacing w:val="-4"/>
                <w:sz w:val="24"/>
              </w:rPr>
              <w:t>(CS)</w:t>
            </w:r>
          </w:p>
        </w:tc>
        <w:tc>
          <w:tcPr>
            <w:tcW w:w="1126" w:type="dxa"/>
            <w:tcBorders>
              <w:left w:val="nil"/>
              <w:right w:val="nil"/>
            </w:tcBorders>
          </w:tcPr>
          <w:p w:rsidR="00E632C8" w:rsidRDefault="00D21170">
            <w:pPr>
              <w:pStyle w:val="TableParagraph"/>
              <w:ind w:right="53"/>
              <w:rPr>
                <w:sz w:val="24"/>
              </w:rPr>
            </w:pPr>
            <w:r>
              <w:rPr>
                <w:spacing w:val="-2"/>
                <w:sz w:val="24"/>
              </w:rPr>
              <w:t>0.63**</w:t>
            </w:r>
          </w:p>
        </w:tc>
        <w:tc>
          <w:tcPr>
            <w:tcW w:w="1181" w:type="dxa"/>
            <w:tcBorders>
              <w:left w:val="nil"/>
              <w:right w:val="nil"/>
            </w:tcBorders>
          </w:tcPr>
          <w:p w:rsidR="00E632C8" w:rsidRDefault="00D21170">
            <w:pPr>
              <w:pStyle w:val="TableParagraph"/>
              <w:ind w:left="1" w:right="2"/>
              <w:rPr>
                <w:sz w:val="24"/>
              </w:rPr>
            </w:pPr>
            <w:r>
              <w:rPr>
                <w:spacing w:val="-2"/>
                <w:sz w:val="24"/>
              </w:rPr>
              <w:t>0.67**</w:t>
            </w:r>
          </w:p>
        </w:tc>
        <w:tc>
          <w:tcPr>
            <w:tcW w:w="1180" w:type="dxa"/>
            <w:tcBorders>
              <w:left w:val="nil"/>
              <w:right w:val="nil"/>
            </w:tcBorders>
          </w:tcPr>
          <w:p w:rsidR="00E632C8" w:rsidRDefault="00D21170">
            <w:pPr>
              <w:pStyle w:val="TableParagraph"/>
              <w:ind w:left="2" w:right="2"/>
              <w:rPr>
                <w:sz w:val="24"/>
              </w:rPr>
            </w:pPr>
            <w:r>
              <w:rPr>
                <w:spacing w:val="-2"/>
                <w:sz w:val="24"/>
              </w:rPr>
              <w:t>0.59**</w:t>
            </w:r>
          </w:p>
        </w:tc>
        <w:tc>
          <w:tcPr>
            <w:tcW w:w="1180" w:type="dxa"/>
            <w:tcBorders>
              <w:left w:val="nil"/>
              <w:right w:val="nil"/>
            </w:tcBorders>
          </w:tcPr>
          <w:p w:rsidR="00E632C8" w:rsidRDefault="00D21170">
            <w:pPr>
              <w:pStyle w:val="TableParagraph"/>
              <w:ind w:left="2" w:right="2"/>
              <w:rPr>
                <w:sz w:val="24"/>
              </w:rPr>
            </w:pPr>
            <w:r>
              <w:rPr>
                <w:spacing w:val="-2"/>
                <w:sz w:val="24"/>
              </w:rPr>
              <w:t>0.52**</w:t>
            </w:r>
          </w:p>
        </w:tc>
        <w:tc>
          <w:tcPr>
            <w:tcW w:w="1270" w:type="dxa"/>
            <w:tcBorders>
              <w:left w:val="nil"/>
              <w:right w:val="nil"/>
            </w:tcBorders>
          </w:tcPr>
          <w:p w:rsidR="00E632C8" w:rsidRDefault="00D21170">
            <w:pPr>
              <w:pStyle w:val="TableParagraph"/>
              <w:ind w:right="88"/>
              <w:rPr>
                <w:sz w:val="24"/>
              </w:rPr>
            </w:pPr>
            <w:r>
              <w:rPr>
                <w:spacing w:val="-2"/>
                <w:sz w:val="24"/>
              </w:rPr>
              <w:t>0.48**</w:t>
            </w:r>
          </w:p>
        </w:tc>
        <w:tc>
          <w:tcPr>
            <w:tcW w:w="1091" w:type="dxa"/>
            <w:tcBorders>
              <w:left w:val="nil"/>
              <w:right w:val="nil"/>
            </w:tcBorders>
          </w:tcPr>
          <w:p w:rsidR="00E632C8" w:rsidRDefault="00D21170">
            <w:pPr>
              <w:pStyle w:val="TableParagraph"/>
              <w:ind w:left="1" w:right="86"/>
              <w:rPr>
                <w:sz w:val="24"/>
              </w:rPr>
            </w:pPr>
            <w:r>
              <w:rPr>
                <w:spacing w:val="-10"/>
                <w:sz w:val="24"/>
              </w:rPr>
              <w:t>1</w:t>
            </w:r>
          </w:p>
        </w:tc>
      </w:tr>
    </w:tbl>
    <w:p w:rsidR="00E632C8" w:rsidRDefault="00D21170">
      <w:pPr>
        <w:spacing w:line="276" w:lineRule="auto"/>
        <w:ind w:left="360" w:right="1353"/>
        <w:jc w:val="both"/>
        <w:rPr>
          <w:i/>
          <w:sz w:val="24"/>
        </w:rPr>
      </w:pPr>
      <w:r>
        <w:rPr>
          <w:i/>
          <w:sz w:val="24"/>
        </w:rPr>
        <w:t>**Correlation</w:t>
      </w:r>
      <w:r>
        <w:rPr>
          <w:i/>
          <w:spacing w:val="-4"/>
          <w:sz w:val="24"/>
        </w:rPr>
        <w:t xml:space="preserve"> </w:t>
      </w:r>
      <w:r>
        <w:rPr>
          <w:i/>
          <w:sz w:val="24"/>
        </w:rPr>
        <w:t>is</w:t>
      </w:r>
      <w:r>
        <w:rPr>
          <w:i/>
          <w:spacing w:val="-4"/>
          <w:sz w:val="24"/>
        </w:rPr>
        <w:t xml:space="preserve"> </w:t>
      </w:r>
      <w:r>
        <w:rPr>
          <w:i/>
          <w:sz w:val="24"/>
        </w:rPr>
        <w:t>significant</w:t>
      </w:r>
      <w:r>
        <w:rPr>
          <w:i/>
          <w:spacing w:val="-4"/>
          <w:sz w:val="24"/>
        </w:rPr>
        <w:t xml:space="preserve"> </w:t>
      </w:r>
      <w:r>
        <w:rPr>
          <w:i/>
          <w:sz w:val="24"/>
        </w:rPr>
        <w:t>at</w:t>
      </w:r>
      <w:r>
        <w:rPr>
          <w:i/>
          <w:spacing w:val="-4"/>
          <w:sz w:val="24"/>
        </w:rPr>
        <w:t xml:space="preserve"> </w:t>
      </w:r>
      <w:r>
        <w:rPr>
          <w:i/>
          <w:sz w:val="24"/>
        </w:rPr>
        <w:t>the</w:t>
      </w:r>
      <w:r>
        <w:rPr>
          <w:i/>
          <w:spacing w:val="-4"/>
          <w:sz w:val="24"/>
        </w:rPr>
        <w:t xml:space="preserve"> </w:t>
      </w:r>
      <w:r>
        <w:rPr>
          <w:i/>
          <w:sz w:val="24"/>
        </w:rPr>
        <w:t>0.01</w:t>
      </w:r>
      <w:r>
        <w:rPr>
          <w:i/>
          <w:spacing w:val="-4"/>
          <w:sz w:val="24"/>
        </w:rPr>
        <w:t xml:space="preserve"> </w:t>
      </w:r>
      <w:r>
        <w:rPr>
          <w:i/>
          <w:sz w:val="24"/>
        </w:rPr>
        <w:t>level</w:t>
      </w:r>
      <w:r>
        <w:rPr>
          <w:i/>
          <w:spacing w:val="-4"/>
          <w:sz w:val="24"/>
        </w:rPr>
        <w:t xml:space="preserve"> </w:t>
      </w:r>
      <w:r>
        <w:rPr>
          <w:i/>
          <w:sz w:val="24"/>
        </w:rPr>
        <w:t>(2-tailed).</w:t>
      </w:r>
      <w:r>
        <w:rPr>
          <w:i/>
          <w:spacing w:val="-4"/>
          <w:sz w:val="24"/>
        </w:rPr>
        <w:t xml:space="preserve"> </w:t>
      </w:r>
      <w:r>
        <w:rPr>
          <w:i/>
          <w:sz w:val="24"/>
        </w:rPr>
        <w:t>Source:</w:t>
      </w:r>
      <w:r>
        <w:rPr>
          <w:i/>
          <w:spacing w:val="-4"/>
          <w:sz w:val="24"/>
        </w:rPr>
        <w:t xml:space="preserve"> </w:t>
      </w:r>
      <w:r>
        <w:rPr>
          <w:i/>
          <w:sz w:val="24"/>
        </w:rPr>
        <w:t>SPSS</w:t>
      </w:r>
      <w:r>
        <w:rPr>
          <w:i/>
          <w:spacing w:val="-4"/>
          <w:sz w:val="24"/>
        </w:rPr>
        <w:t xml:space="preserve"> </w:t>
      </w:r>
      <w:r>
        <w:rPr>
          <w:i/>
          <w:sz w:val="24"/>
        </w:rPr>
        <w:t>bivariate</w:t>
      </w:r>
      <w:r>
        <w:rPr>
          <w:i/>
          <w:spacing w:val="-5"/>
          <w:sz w:val="24"/>
        </w:rPr>
        <w:t xml:space="preserve"> </w:t>
      </w:r>
      <w:r>
        <w:rPr>
          <w:i/>
          <w:sz w:val="24"/>
        </w:rPr>
        <w:t>correlation output, primary survey data (n = 150).</w:t>
      </w:r>
    </w:p>
    <w:p w:rsidR="00E632C8" w:rsidRDefault="00D21170">
      <w:pPr>
        <w:pStyle w:val="Heading1"/>
        <w:numPr>
          <w:ilvl w:val="1"/>
          <w:numId w:val="2"/>
        </w:numPr>
        <w:tabs>
          <w:tab w:val="left" w:pos="720"/>
        </w:tabs>
        <w:spacing w:line="275" w:lineRule="exact"/>
        <w:jc w:val="both"/>
      </w:pPr>
      <w:r>
        <w:t>Multiple</w:t>
      </w:r>
      <w:r>
        <w:rPr>
          <w:spacing w:val="-5"/>
        </w:rPr>
        <w:t xml:space="preserve"> </w:t>
      </w:r>
      <w:r>
        <w:t>Regression</w:t>
      </w:r>
      <w:r>
        <w:rPr>
          <w:spacing w:val="-4"/>
        </w:rPr>
        <w:t xml:space="preserve"> </w:t>
      </w:r>
      <w:r>
        <w:t>Analysis</w:t>
      </w:r>
      <w:r>
        <w:rPr>
          <w:spacing w:val="-5"/>
        </w:rPr>
        <w:t xml:space="preserve"> </w:t>
      </w:r>
      <w:r>
        <w:t>and</w:t>
      </w:r>
      <w:r>
        <w:rPr>
          <w:spacing w:val="-6"/>
        </w:rPr>
        <w:t xml:space="preserve"> </w:t>
      </w:r>
      <w:r>
        <w:t>Hypothesis</w:t>
      </w:r>
      <w:r>
        <w:rPr>
          <w:spacing w:val="-5"/>
        </w:rPr>
        <w:t xml:space="preserve"> </w:t>
      </w:r>
      <w:r>
        <w:rPr>
          <w:spacing w:val="-2"/>
        </w:rPr>
        <w:t>Testing</w:t>
      </w:r>
    </w:p>
    <w:p w:rsidR="00E632C8" w:rsidRDefault="00D21170">
      <w:pPr>
        <w:pStyle w:val="BodyText"/>
        <w:spacing w:before="40" w:line="276" w:lineRule="auto"/>
        <w:ind w:right="718"/>
      </w:pPr>
      <w:r>
        <w:t xml:space="preserve">A multiple linear regression was conducted with customer satisfaction as the dependent variable and the five service quality dimensions as predictors, to test H01/Ha1. The overall regression model was statistically significant, </w:t>
      </w:r>
      <w:proofErr w:type="gramStart"/>
      <w:r>
        <w:t>F(</w:t>
      </w:r>
      <w:proofErr w:type="gramEnd"/>
      <w:r>
        <w:t>5, 144) = 35.24, p &lt; 0.001</w:t>
      </w:r>
      <w:r>
        <w:t>, with an R² of 0.551 and an adjusted R² of 0.535, indicating that the five SERVQUAL dimensions jointly explain approximately 53.5 percent of the variance in customer satisfaction after adjusting for the</w:t>
      </w:r>
      <w:r>
        <w:rPr>
          <w:spacing w:val="40"/>
        </w:rPr>
        <w:t xml:space="preserve"> </w:t>
      </w:r>
      <w:r>
        <w:t>number of predictors—a substantial effect size for s</w:t>
      </w:r>
      <w:r>
        <w:t xml:space="preserve">urvey-based </w:t>
      </w:r>
      <w:proofErr w:type="spellStart"/>
      <w:r>
        <w:t>behavioural</w:t>
      </w:r>
      <w:proofErr w:type="spellEnd"/>
      <w:r>
        <w:t xml:space="preserve"> research. As shown in Table 5, reliability (β = 0.249, p &lt; 0.001) and responsiveness (β = 0.291, p &lt; 0.001) were the strongest and most statistically significant predictors of customer satisfaction, followed by assurance (β = 0.174,</w:t>
      </w:r>
      <w:r>
        <w:t xml:space="preserve"> p = 0.001). Empathy (β = 0.098, p = 0.066) and tangibility (β = 0.089, p = 0.084) did not reach statistical significance at the 0.05 level, suggesting that while these dimensions are positively associated with satisfaction, their independent predictive co</w:t>
      </w:r>
      <w:r>
        <w:t>ntribution is comparatively weaker once the other dimensions are controlled for.</w:t>
      </w:r>
    </w:p>
    <w:p w:rsidR="00E632C8" w:rsidRDefault="00D21170">
      <w:pPr>
        <w:pStyle w:val="Heading1"/>
        <w:spacing w:after="50" w:line="275" w:lineRule="exact"/>
        <w:ind w:left="360" w:firstLine="0"/>
      </w:pPr>
      <w:r>
        <w:t>Table</w:t>
      </w:r>
      <w:r>
        <w:rPr>
          <w:spacing w:val="-5"/>
        </w:rPr>
        <w:t xml:space="preserve"> </w:t>
      </w:r>
      <w:r>
        <w:t>5.</w:t>
      </w:r>
      <w:r>
        <w:rPr>
          <w:spacing w:val="-3"/>
        </w:rPr>
        <w:t xml:space="preserve"> </w:t>
      </w:r>
      <w:r>
        <w:t>Multiple</w:t>
      </w:r>
      <w:r>
        <w:rPr>
          <w:spacing w:val="-2"/>
        </w:rPr>
        <w:t xml:space="preserve"> </w:t>
      </w:r>
      <w:r>
        <w:t>Regression</w:t>
      </w:r>
      <w:r>
        <w:rPr>
          <w:spacing w:val="-3"/>
        </w:rPr>
        <w:t xml:space="preserve"> </w:t>
      </w:r>
      <w:r>
        <w:t>Analysis:</w:t>
      </w:r>
      <w:r>
        <w:rPr>
          <w:spacing w:val="-2"/>
        </w:rPr>
        <w:t xml:space="preserve"> </w:t>
      </w:r>
      <w:r>
        <w:t>Predictors</w:t>
      </w:r>
      <w:r>
        <w:rPr>
          <w:spacing w:val="-4"/>
        </w:rPr>
        <w:t xml:space="preserve"> </w:t>
      </w:r>
      <w:r>
        <w:t>of</w:t>
      </w:r>
      <w:r>
        <w:rPr>
          <w:spacing w:val="-2"/>
        </w:rPr>
        <w:t xml:space="preserve"> </w:t>
      </w:r>
      <w:r>
        <w:t>Customer</w:t>
      </w:r>
      <w:r>
        <w:rPr>
          <w:spacing w:val="-3"/>
        </w:rPr>
        <w:t xml:space="preserve"> </w:t>
      </w:r>
      <w:r>
        <w:rPr>
          <w:spacing w:val="-2"/>
        </w:rPr>
        <w:t>Satisfaction</w:t>
      </w:r>
    </w:p>
    <w:tbl>
      <w:tblPr>
        <w:tblW w:w="0" w:type="auto"/>
        <w:tblInd w:w="25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2239"/>
        <w:gridCol w:w="1388"/>
        <w:gridCol w:w="1621"/>
        <w:gridCol w:w="1384"/>
        <w:gridCol w:w="1050"/>
        <w:gridCol w:w="1331"/>
      </w:tblGrid>
      <w:tr w:rsidR="00E632C8">
        <w:trPr>
          <w:trHeight w:val="316"/>
        </w:trPr>
        <w:tc>
          <w:tcPr>
            <w:tcW w:w="2239" w:type="dxa"/>
            <w:tcBorders>
              <w:left w:val="nil"/>
              <w:right w:val="nil"/>
            </w:tcBorders>
          </w:tcPr>
          <w:p w:rsidR="00E632C8" w:rsidRDefault="00D21170">
            <w:pPr>
              <w:pStyle w:val="TableParagraph"/>
              <w:ind w:left="719"/>
              <w:jc w:val="left"/>
              <w:rPr>
                <w:b/>
                <w:sz w:val="24"/>
              </w:rPr>
            </w:pPr>
            <w:r>
              <w:rPr>
                <w:b/>
                <w:spacing w:val="-2"/>
                <w:sz w:val="24"/>
              </w:rPr>
              <w:t>Predictor</w:t>
            </w:r>
          </w:p>
        </w:tc>
        <w:tc>
          <w:tcPr>
            <w:tcW w:w="1388" w:type="dxa"/>
            <w:tcBorders>
              <w:left w:val="nil"/>
              <w:right w:val="nil"/>
            </w:tcBorders>
          </w:tcPr>
          <w:p w:rsidR="00E632C8" w:rsidRDefault="00D21170">
            <w:pPr>
              <w:pStyle w:val="TableParagraph"/>
              <w:ind w:left="247"/>
              <w:rPr>
                <w:b/>
                <w:sz w:val="24"/>
              </w:rPr>
            </w:pPr>
            <w:r>
              <w:rPr>
                <w:b/>
                <w:spacing w:val="-10"/>
                <w:sz w:val="24"/>
              </w:rPr>
              <w:t>B</w:t>
            </w:r>
          </w:p>
        </w:tc>
        <w:tc>
          <w:tcPr>
            <w:tcW w:w="1621" w:type="dxa"/>
            <w:tcBorders>
              <w:left w:val="nil"/>
              <w:right w:val="nil"/>
            </w:tcBorders>
          </w:tcPr>
          <w:p w:rsidR="00E632C8" w:rsidRDefault="00D21170">
            <w:pPr>
              <w:pStyle w:val="TableParagraph"/>
              <w:ind w:left="42" w:right="2"/>
              <w:rPr>
                <w:b/>
                <w:sz w:val="24"/>
              </w:rPr>
            </w:pPr>
            <w:r>
              <w:rPr>
                <w:b/>
                <w:sz w:val="24"/>
              </w:rPr>
              <w:t xml:space="preserve">Std. </w:t>
            </w:r>
            <w:r>
              <w:rPr>
                <w:b/>
                <w:spacing w:val="-2"/>
                <w:sz w:val="24"/>
              </w:rPr>
              <w:t>Error</w:t>
            </w:r>
          </w:p>
        </w:tc>
        <w:tc>
          <w:tcPr>
            <w:tcW w:w="1384" w:type="dxa"/>
            <w:tcBorders>
              <w:left w:val="nil"/>
              <w:right w:val="nil"/>
            </w:tcBorders>
          </w:tcPr>
          <w:p w:rsidR="00E632C8" w:rsidRDefault="00D21170">
            <w:pPr>
              <w:pStyle w:val="TableParagraph"/>
              <w:ind w:right="63"/>
              <w:rPr>
                <w:b/>
                <w:sz w:val="24"/>
              </w:rPr>
            </w:pPr>
            <w:r>
              <w:rPr>
                <w:b/>
                <w:sz w:val="24"/>
              </w:rPr>
              <w:t>Beta</w:t>
            </w:r>
            <w:r>
              <w:rPr>
                <w:b/>
                <w:spacing w:val="-1"/>
                <w:sz w:val="24"/>
              </w:rPr>
              <w:t xml:space="preserve"> </w:t>
            </w:r>
            <w:r>
              <w:rPr>
                <w:b/>
                <w:spacing w:val="-5"/>
                <w:sz w:val="24"/>
              </w:rPr>
              <w:t>(β)</w:t>
            </w:r>
          </w:p>
        </w:tc>
        <w:tc>
          <w:tcPr>
            <w:tcW w:w="1050" w:type="dxa"/>
            <w:tcBorders>
              <w:left w:val="nil"/>
              <w:right w:val="nil"/>
            </w:tcBorders>
          </w:tcPr>
          <w:p w:rsidR="00E632C8" w:rsidRDefault="00D21170">
            <w:pPr>
              <w:pStyle w:val="TableParagraph"/>
              <w:rPr>
                <w:b/>
                <w:sz w:val="24"/>
              </w:rPr>
            </w:pPr>
            <w:r>
              <w:rPr>
                <w:b/>
                <w:spacing w:val="-10"/>
                <w:sz w:val="24"/>
              </w:rPr>
              <w:t>t</w:t>
            </w:r>
          </w:p>
        </w:tc>
        <w:tc>
          <w:tcPr>
            <w:tcW w:w="1331" w:type="dxa"/>
            <w:tcBorders>
              <w:left w:val="nil"/>
              <w:right w:val="nil"/>
            </w:tcBorders>
          </w:tcPr>
          <w:p w:rsidR="00E632C8" w:rsidRDefault="00D21170">
            <w:pPr>
              <w:pStyle w:val="TableParagraph"/>
              <w:ind w:left="21"/>
              <w:rPr>
                <w:b/>
                <w:sz w:val="24"/>
              </w:rPr>
            </w:pPr>
            <w:r>
              <w:rPr>
                <w:b/>
                <w:sz w:val="24"/>
              </w:rPr>
              <w:t xml:space="preserve">Sig. </w:t>
            </w:r>
            <w:r>
              <w:rPr>
                <w:b/>
                <w:spacing w:val="-5"/>
                <w:sz w:val="24"/>
              </w:rPr>
              <w:t>(p)</w:t>
            </w:r>
          </w:p>
        </w:tc>
      </w:tr>
      <w:tr w:rsidR="00E632C8">
        <w:trPr>
          <w:trHeight w:val="316"/>
        </w:trPr>
        <w:tc>
          <w:tcPr>
            <w:tcW w:w="2239" w:type="dxa"/>
            <w:tcBorders>
              <w:left w:val="nil"/>
              <w:right w:val="nil"/>
            </w:tcBorders>
          </w:tcPr>
          <w:p w:rsidR="00E632C8" w:rsidRDefault="00D21170">
            <w:pPr>
              <w:pStyle w:val="TableParagraph"/>
              <w:ind w:left="115"/>
              <w:jc w:val="left"/>
              <w:rPr>
                <w:sz w:val="24"/>
              </w:rPr>
            </w:pPr>
            <w:r>
              <w:rPr>
                <w:spacing w:val="-2"/>
                <w:sz w:val="24"/>
              </w:rPr>
              <w:t>(Constant)</w:t>
            </w:r>
          </w:p>
        </w:tc>
        <w:tc>
          <w:tcPr>
            <w:tcW w:w="1388" w:type="dxa"/>
            <w:tcBorders>
              <w:left w:val="nil"/>
              <w:right w:val="nil"/>
            </w:tcBorders>
          </w:tcPr>
          <w:p w:rsidR="00E632C8" w:rsidRDefault="00D21170">
            <w:pPr>
              <w:pStyle w:val="TableParagraph"/>
              <w:ind w:left="247"/>
              <w:rPr>
                <w:sz w:val="24"/>
              </w:rPr>
            </w:pPr>
            <w:r>
              <w:rPr>
                <w:spacing w:val="-2"/>
                <w:sz w:val="24"/>
              </w:rPr>
              <w:t>0.512</w:t>
            </w:r>
          </w:p>
        </w:tc>
        <w:tc>
          <w:tcPr>
            <w:tcW w:w="1621" w:type="dxa"/>
            <w:tcBorders>
              <w:left w:val="nil"/>
              <w:right w:val="nil"/>
            </w:tcBorders>
          </w:tcPr>
          <w:p w:rsidR="00E632C8" w:rsidRDefault="00D21170">
            <w:pPr>
              <w:pStyle w:val="TableParagraph"/>
              <w:ind w:left="42"/>
              <w:rPr>
                <w:sz w:val="24"/>
              </w:rPr>
            </w:pPr>
            <w:r>
              <w:rPr>
                <w:spacing w:val="-2"/>
                <w:sz w:val="24"/>
              </w:rPr>
              <w:t>0.239</w:t>
            </w:r>
          </w:p>
        </w:tc>
        <w:tc>
          <w:tcPr>
            <w:tcW w:w="1384" w:type="dxa"/>
            <w:tcBorders>
              <w:left w:val="nil"/>
              <w:right w:val="nil"/>
            </w:tcBorders>
          </w:tcPr>
          <w:p w:rsidR="00E632C8" w:rsidRDefault="00D21170">
            <w:pPr>
              <w:pStyle w:val="TableParagraph"/>
              <w:ind w:right="63"/>
              <w:rPr>
                <w:sz w:val="24"/>
              </w:rPr>
            </w:pPr>
            <w:r>
              <w:rPr>
                <w:sz w:val="24"/>
              </w:rPr>
              <w:t>—</w:t>
            </w:r>
          </w:p>
        </w:tc>
        <w:tc>
          <w:tcPr>
            <w:tcW w:w="1050" w:type="dxa"/>
            <w:tcBorders>
              <w:left w:val="nil"/>
              <w:right w:val="nil"/>
            </w:tcBorders>
          </w:tcPr>
          <w:p w:rsidR="00E632C8" w:rsidRDefault="00D21170">
            <w:pPr>
              <w:pStyle w:val="TableParagraph"/>
              <w:rPr>
                <w:sz w:val="24"/>
              </w:rPr>
            </w:pPr>
            <w:r>
              <w:rPr>
                <w:spacing w:val="-4"/>
                <w:sz w:val="24"/>
              </w:rPr>
              <w:t>2.14</w:t>
            </w:r>
          </w:p>
        </w:tc>
        <w:tc>
          <w:tcPr>
            <w:tcW w:w="1331" w:type="dxa"/>
            <w:tcBorders>
              <w:left w:val="nil"/>
              <w:right w:val="nil"/>
            </w:tcBorders>
          </w:tcPr>
          <w:p w:rsidR="00E632C8" w:rsidRDefault="00D21170">
            <w:pPr>
              <w:pStyle w:val="TableParagraph"/>
              <w:ind w:left="21" w:right="2"/>
              <w:rPr>
                <w:sz w:val="24"/>
              </w:rPr>
            </w:pPr>
            <w:r>
              <w:rPr>
                <w:spacing w:val="-2"/>
                <w:sz w:val="24"/>
              </w:rPr>
              <w:t>0.034</w:t>
            </w:r>
          </w:p>
        </w:tc>
      </w:tr>
      <w:tr w:rsidR="00E632C8">
        <w:trPr>
          <w:trHeight w:val="318"/>
        </w:trPr>
        <w:tc>
          <w:tcPr>
            <w:tcW w:w="2239" w:type="dxa"/>
            <w:tcBorders>
              <w:left w:val="nil"/>
              <w:right w:val="nil"/>
            </w:tcBorders>
          </w:tcPr>
          <w:p w:rsidR="00E632C8" w:rsidRDefault="00D21170">
            <w:pPr>
              <w:pStyle w:val="TableParagraph"/>
              <w:spacing w:before="1" w:line="240" w:lineRule="auto"/>
              <w:ind w:left="115"/>
              <w:jc w:val="left"/>
              <w:rPr>
                <w:sz w:val="24"/>
              </w:rPr>
            </w:pPr>
            <w:r>
              <w:rPr>
                <w:spacing w:val="-2"/>
                <w:sz w:val="24"/>
              </w:rPr>
              <w:t>Reliability</w:t>
            </w:r>
          </w:p>
        </w:tc>
        <w:tc>
          <w:tcPr>
            <w:tcW w:w="1388" w:type="dxa"/>
            <w:tcBorders>
              <w:left w:val="nil"/>
              <w:right w:val="nil"/>
            </w:tcBorders>
          </w:tcPr>
          <w:p w:rsidR="00E632C8" w:rsidRDefault="00D21170">
            <w:pPr>
              <w:pStyle w:val="TableParagraph"/>
              <w:spacing w:before="1" w:line="240" w:lineRule="auto"/>
              <w:ind w:left="247"/>
              <w:rPr>
                <w:sz w:val="24"/>
              </w:rPr>
            </w:pPr>
            <w:r>
              <w:rPr>
                <w:spacing w:val="-2"/>
                <w:sz w:val="24"/>
              </w:rPr>
              <w:t>0.241</w:t>
            </w:r>
          </w:p>
        </w:tc>
        <w:tc>
          <w:tcPr>
            <w:tcW w:w="1621" w:type="dxa"/>
            <w:tcBorders>
              <w:left w:val="nil"/>
              <w:right w:val="nil"/>
            </w:tcBorders>
          </w:tcPr>
          <w:p w:rsidR="00E632C8" w:rsidRDefault="00D21170">
            <w:pPr>
              <w:pStyle w:val="TableParagraph"/>
              <w:spacing w:before="1" w:line="240" w:lineRule="auto"/>
              <w:ind w:left="42"/>
              <w:rPr>
                <w:sz w:val="24"/>
              </w:rPr>
            </w:pPr>
            <w:r>
              <w:rPr>
                <w:spacing w:val="-2"/>
                <w:sz w:val="24"/>
              </w:rPr>
              <w:t>0.058</w:t>
            </w:r>
          </w:p>
        </w:tc>
        <w:tc>
          <w:tcPr>
            <w:tcW w:w="1384" w:type="dxa"/>
            <w:tcBorders>
              <w:left w:val="nil"/>
              <w:right w:val="nil"/>
            </w:tcBorders>
          </w:tcPr>
          <w:p w:rsidR="00E632C8" w:rsidRDefault="00D21170">
            <w:pPr>
              <w:pStyle w:val="TableParagraph"/>
              <w:spacing w:before="1" w:line="240" w:lineRule="auto"/>
              <w:ind w:right="60"/>
              <w:rPr>
                <w:sz w:val="24"/>
              </w:rPr>
            </w:pPr>
            <w:r>
              <w:rPr>
                <w:spacing w:val="-2"/>
                <w:sz w:val="24"/>
              </w:rPr>
              <w:t>0.249</w:t>
            </w:r>
          </w:p>
        </w:tc>
        <w:tc>
          <w:tcPr>
            <w:tcW w:w="1050" w:type="dxa"/>
            <w:tcBorders>
              <w:left w:val="nil"/>
              <w:right w:val="nil"/>
            </w:tcBorders>
          </w:tcPr>
          <w:p w:rsidR="00E632C8" w:rsidRDefault="00D21170">
            <w:pPr>
              <w:pStyle w:val="TableParagraph"/>
              <w:spacing w:before="1" w:line="240" w:lineRule="auto"/>
              <w:rPr>
                <w:sz w:val="24"/>
              </w:rPr>
            </w:pPr>
            <w:r>
              <w:rPr>
                <w:spacing w:val="-4"/>
                <w:sz w:val="24"/>
              </w:rPr>
              <w:t>4.16</w:t>
            </w:r>
          </w:p>
        </w:tc>
        <w:tc>
          <w:tcPr>
            <w:tcW w:w="1331" w:type="dxa"/>
            <w:tcBorders>
              <w:left w:val="nil"/>
              <w:right w:val="nil"/>
            </w:tcBorders>
          </w:tcPr>
          <w:p w:rsidR="00E632C8" w:rsidRDefault="00D21170">
            <w:pPr>
              <w:pStyle w:val="TableParagraph"/>
              <w:spacing w:before="1" w:line="240" w:lineRule="auto"/>
              <w:ind w:left="21" w:right="2"/>
              <w:rPr>
                <w:sz w:val="24"/>
              </w:rPr>
            </w:pPr>
            <w:r>
              <w:rPr>
                <w:spacing w:val="-2"/>
                <w:sz w:val="24"/>
              </w:rPr>
              <w:t>0.000</w:t>
            </w:r>
          </w:p>
        </w:tc>
      </w:tr>
      <w:tr w:rsidR="00E632C8">
        <w:trPr>
          <w:trHeight w:val="316"/>
        </w:trPr>
        <w:tc>
          <w:tcPr>
            <w:tcW w:w="2239" w:type="dxa"/>
            <w:tcBorders>
              <w:left w:val="nil"/>
              <w:right w:val="nil"/>
            </w:tcBorders>
          </w:tcPr>
          <w:p w:rsidR="00E632C8" w:rsidRDefault="00D21170">
            <w:pPr>
              <w:pStyle w:val="TableParagraph"/>
              <w:ind w:left="115"/>
              <w:jc w:val="left"/>
              <w:rPr>
                <w:sz w:val="24"/>
              </w:rPr>
            </w:pPr>
            <w:r>
              <w:rPr>
                <w:spacing w:val="-2"/>
                <w:sz w:val="24"/>
              </w:rPr>
              <w:t>Responsiveness</w:t>
            </w:r>
          </w:p>
        </w:tc>
        <w:tc>
          <w:tcPr>
            <w:tcW w:w="1388" w:type="dxa"/>
            <w:tcBorders>
              <w:left w:val="nil"/>
              <w:right w:val="nil"/>
            </w:tcBorders>
          </w:tcPr>
          <w:p w:rsidR="00E632C8" w:rsidRDefault="00D21170">
            <w:pPr>
              <w:pStyle w:val="TableParagraph"/>
              <w:ind w:left="247"/>
              <w:rPr>
                <w:sz w:val="24"/>
              </w:rPr>
            </w:pPr>
            <w:r>
              <w:rPr>
                <w:spacing w:val="-2"/>
                <w:sz w:val="24"/>
              </w:rPr>
              <w:t>0.283</w:t>
            </w:r>
          </w:p>
        </w:tc>
        <w:tc>
          <w:tcPr>
            <w:tcW w:w="1621" w:type="dxa"/>
            <w:tcBorders>
              <w:left w:val="nil"/>
              <w:right w:val="nil"/>
            </w:tcBorders>
          </w:tcPr>
          <w:p w:rsidR="00E632C8" w:rsidRDefault="00D21170">
            <w:pPr>
              <w:pStyle w:val="TableParagraph"/>
              <w:ind w:left="42"/>
              <w:rPr>
                <w:sz w:val="24"/>
              </w:rPr>
            </w:pPr>
            <w:r>
              <w:rPr>
                <w:spacing w:val="-2"/>
                <w:sz w:val="24"/>
              </w:rPr>
              <w:t>0.061</w:t>
            </w:r>
          </w:p>
        </w:tc>
        <w:tc>
          <w:tcPr>
            <w:tcW w:w="1384" w:type="dxa"/>
            <w:tcBorders>
              <w:left w:val="nil"/>
              <w:right w:val="nil"/>
            </w:tcBorders>
          </w:tcPr>
          <w:p w:rsidR="00E632C8" w:rsidRDefault="00D21170">
            <w:pPr>
              <w:pStyle w:val="TableParagraph"/>
              <w:ind w:right="60"/>
              <w:rPr>
                <w:sz w:val="24"/>
              </w:rPr>
            </w:pPr>
            <w:r>
              <w:rPr>
                <w:spacing w:val="-2"/>
                <w:sz w:val="24"/>
              </w:rPr>
              <w:t>0.291</w:t>
            </w:r>
          </w:p>
        </w:tc>
        <w:tc>
          <w:tcPr>
            <w:tcW w:w="1050" w:type="dxa"/>
            <w:tcBorders>
              <w:left w:val="nil"/>
              <w:right w:val="nil"/>
            </w:tcBorders>
          </w:tcPr>
          <w:p w:rsidR="00E632C8" w:rsidRDefault="00D21170">
            <w:pPr>
              <w:pStyle w:val="TableParagraph"/>
              <w:rPr>
                <w:sz w:val="24"/>
              </w:rPr>
            </w:pPr>
            <w:r>
              <w:rPr>
                <w:spacing w:val="-4"/>
                <w:sz w:val="24"/>
              </w:rPr>
              <w:t>4.64</w:t>
            </w:r>
          </w:p>
        </w:tc>
        <w:tc>
          <w:tcPr>
            <w:tcW w:w="1331" w:type="dxa"/>
            <w:tcBorders>
              <w:left w:val="nil"/>
              <w:right w:val="nil"/>
            </w:tcBorders>
          </w:tcPr>
          <w:p w:rsidR="00E632C8" w:rsidRDefault="00D21170">
            <w:pPr>
              <w:pStyle w:val="TableParagraph"/>
              <w:ind w:left="21" w:right="2"/>
              <w:rPr>
                <w:sz w:val="24"/>
              </w:rPr>
            </w:pPr>
            <w:r>
              <w:rPr>
                <w:spacing w:val="-2"/>
                <w:sz w:val="24"/>
              </w:rPr>
              <w:t>0.000</w:t>
            </w:r>
          </w:p>
        </w:tc>
      </w:tr>
      <w:tr w:rsidR="00E632C8">
        <w:trPr>
          <w:trHeight w:val="318"/>
        </w:trPr>
        <w:tc>
          <w:tcPr>
            <w:tcW w:w="2239" w:type="dxa"/>
            <w:tcBorders>
              <w:left w:val="nil"/>
              <w:right w:val="nil"/>
            </w:tcBorders>
          </w:tcPr>
          <w:p w:rsidR="00E632C8" w:rsidRDefault="00D21170">
            <w:pPr>
              <w:pStyle w:val="TableParagraph"/>
              <w:ind w:left="115"/>
              <w:jc w:val="left"/>
              <w:rPr>
                <w:sz w:val="24"/>
              </w:rPr>
            </w:pPr>
            <w:r>
              <w:rPr>
                <w:spacing w:val="-2"/>
                <w:sz w:val="24"/>
              </w:rPr>
              <w:t>Assurance</w:t>
            </w:r>
          </w:p>
        </w:tc>
        <w:tc>
          <w:tcPr>
            <w:tcW w:w="1388" w:type="dxa"/>
            <w:tcBorders>
              <w:left w:val="nil"/>
              <w:right w:val="nil"/>
            </w:tcBorders>
          </w:tcPr>
          <w:p w:rsidR="00E632C8" w:rsidRDefault="00D21170">
            <w:pPr>
              <w:pStyle w:val="TableParagraph"/>
              <w:ind w:left="247"/>
              <w:rPr>
                <w:sz w:val="24"/>
              </w:rPr>
            </w:pPr>
            <w:r>
              <w:rPr>
                <w:spacing w:val="-2"/>
                <w:sz w:val="24"/>
              </w:rPr>
              <w:t>0.178</w:t>
            </w:r>
          </w:p>
        </w:tc>
        <w:tc>
          <w:tcPr>
            <w:tcW w:w="1621" w:type="dxa"/>
            <w:tcBorders>
              <w:left w:val="nil"/>
              <w:right w:val="nil"/>
            </w:tcBorders>
          </w:tcPr>
          <w:p w:rsidR="00E632C8" w:rsidRDefault="00D21170">
            <w:pPr>
              <w:pStyle w:val="TableParagraph"/>
              <w:ind w:left="42"/>
              <w:rPr>
                <w:sz w:val="24"/>
              </w:rPr>
            </w:pPr>
            <w:r>
              <w:rPr>
                <w:spacing w:val="-2"/>
                <w:sz w:val="24"/>
              </w:rPr>
              <w:t>0.055</w:t>
            </w:r>
          </w:p>
        </w:tc>
        <w:tc>
          <w:tcPr>
            <w:tcW w:w="1384" w:type="dxa"/>
            <w:tcBorders>
              <w:left w:val="nil"/>
              <w:right w:val="nil"/>
            </w:tcBorders>
          </w:tcPr>
          <w:p w:rsidR="00E632C8" w:rsidRDefault="00D21170">
            <w:pPr>
              <w:pStyle w:val="TableParagraph"/>
              <w:ind w:right="60"/>
              <w:rPr>
                <w:sz w:val="24"/>
              </w:rPr>
            </w:pPr>
            <w:r>
              <w:rPr>
                <w:spacing w:val="-2"/>
                <w:sz w:val="24"/>
              </w:rPr>
              <w:t>0.174</w:t>
            </w:r>
          </w:p>
        </w:tc>
        <w:tc>
          <w:tcPr>
            <w:tcW w:w="1050" w:type="dxa"/>
            <w:tcBorders>
              <w:left w:val="nil"/>
              <w:right w:val="nil"/>
            </w:tcBorders>
          </w:tcPr>
          <w:p w:rsidR="00E632C8" w:rsidRDefault="00D21170">
            <w:pPr>
              <w:pStyle w:val="TableParagraph"/>
              <w:rPr>
                <w:sz w:val="24"/>
              </w:rPr>
            </w:pPr>
            <w:r>
              <w:rPr>
                <w:spacing w:val="-4"/>
                <w:sz w:val="24"/>
              </w:rPr>
              <w:t>3.24</w:t>
            </w:r>
          </w:p>
        </w:tc>
        <w:tc>
          <w:tcPr>
            <w:tcW w:w="1331" w:type="dxa"/>
            <w:tcBorders>
              <w:left w:val="nil"/>
              <w:right w:val="nil"/>
            </w:tcBorders>
          </w:tcPr>
          <w:p w:rsidR="00E632C8" w:rsidRDefault="00D21170">
            <w:pPr>
              <w:pStyle w:val="TableParagraph"/>
              <w:ind w:left="21" w:right="2"/>
              <w:rPr>
                <w:sz w:val="24"/>
              </w:rPr>
            </w:pPr>
            <w:r>
              <w:rPr>
                <w:spacing w:val="-2"/>
                <w:sz w:val="24"/>
              </w:rPr>
              <w:t>0.001</w:t>
            </w:r>
          </w:p>
        </w:tc>
      </w:tr>
      <w:tr w:rsidR="00E632C8">
        <w:trPr>
          <w:trHeight w:val="316"/>
        </w:trPr>
        <w:tc>
          <w:tcPr>
            <w:tcW w:w="2239" w:type="dxa"/>
            <w:tcBorders>
              <w:left w:val="nil"/>
              <w:right w:val="nil"/>
            </w:tcBorders>
          </w:tcPr>
          <w:p w:rsidR="00E632C8" w:rsidRDefault="00D21170">
            <w:pPr>
              <w:pStyle w:val="TableParagraph"/>
              <w:ind w:left="115"/>
              <w:jc w:val="left"/>
              <w:rPr>
                <w:sz w:val="24"/>
              </w:rPr>
            </w:pPr>
            <w:r>
              <w:rPr>
                <w:spacing w:val="-2"/>
                <w:sz w:val="24"/>
              </w:rPr>
              <w:t>Empathy</w:t>
            </w:r>
          </w:p>
        </w:tc>
        <w:tc>
          <w:tcPr>
            <w:tcW w:w="1388" w:type="dxa"/>
            <w:tcBorders>
              <w:left w:val="nil"/>
              <w:right w:val="nil"/>
            </w:tcBorders>
          </w:tcPr>
          <w:p w:rsidR="00E632C8" w:rsidRDefault="00D21170">
            <w:pPr>
              <w:pStyle w:val="TableParagraph"/>
              <w:ind w:left="247"/>
              <w:rPr>
                <w:sz w:val="24"/>
              </w:rPr>
            </w:pPr>
            <w:r>
              <w:rPr>
                <w:spacing w:val="-2"/>
                <w:sz w:val="24"/>
              </w:rPr>
              <w:t>0.096</w:t>
            </w:r>
          </w:p>
        </w:tc>
        <w:tc>
          <w:tcPr>
            <w:tcW w:w="1621" w:type="dxa"/>
            <w:tcBorders>
              <w:left w:val="nil"/>
              <w:right w:val="nil"/>
            </w:tcBorders>
          </w:tcPr>
          <w:p w:rsidR="00E632C8" w:rsidRDefault="00D21170">
            <w:pPr>
              <w:pStyle w:val="TableParagraph"/>
              <w:ind w:left="42"/>
              <w:rPr>
                <w:sz w:val="24"/>
              </w:rPr>
            </w:pPr>
            <w:r>
              <w:rPr>
                <w:spacing w:val="-2"/>
                <w:sz w:val="24"/>
              </w:rPr>
              <w:t>0.052</w:t>
            </w:r>
          </w:p>
        </w:tc>
        <w:tc>
          <w:tcPr>
            <w:tcW w:w="1384" w:type="dxa"/>
            <w:tcBorders>
              <w:left w:val="nil"/>
              <w:right w:val="nil"/>
            </w:tcBorders>
          </w:tcPr>
          <w:p w:rsidR="00E632C8" w:rsidRDefault="00D21170">
            <w:pPr>
              <w:pStyle w:val="TableParagraph"/>
              <w:ind w:right="60"/>
              <w:rPr>
                <w:sz w:val="24"/>
              </w:rPr>
            </w:pPr>
            <w:r>
              <w:rPr>
                <w:spacing w:val="-2"/>
                <w:sz w:val="24"/>
              </w:rPr>
              <w:t>0.098</w:t>
            </w:r>
          </w:p>
        </w:tc>
        <w:tc>
          <w:tcPr>
            <w:tcW w:w="1050" w:type="dxa"/>
            <w:tcBorders>
              <w:left w:val="nil"/>
              <w:right w:val="nil"/>
            </w:tcBorders>
          </w:tcPr>
          <w:p w:rsidR="00E632C8" w:rsidRDefault="00D21170">
            <w:pPr>
              <w:pStyle w:val="TableParagraph"/>
              <w:rPr>
                <w:sz w:val="24"/>
              </w:rPr>
            </w:pPr>
            <w:r>
              <w:rPr>
                <w:spacing w:val="-4"/>
                <w:sz w:val="24"/>
              </w:rPr>
              <w:t>1.85</w:t>
            </w:r>
          </w:p>
        </w:tc>
        <w:tc>
          <w:tcPr>
            <w:tcW w:w="1331" w:type="dxa"/>
            <w:tcBorders>
              <w:left w:val="nil"/>
              <w:right w:val="nil"/>
            </w:tcBorders>
          </w:tcPr>
          <w:p w:rsidR="00E632C8" w:rsidRDefault="00D21170">
            <w:pPr>
              <w:pStyle w:val="TableParagraph"/>
              <w:ind w:left="21" w:right="2"/>
              <w:rPr>
                <w:sz w:val="24"/>
              </w:rPr>
            </w:pPr>
            <w:r>
              <w:rPr>
                <w:spacing w:val="-2"/>
                <w:sz w:val="24"/>
              </w:rPr>
              <w:t>0.066</w:t>
            </w:r>
          </w:p>
        </w:tc>
      </w:tr>
    </w:tbl>
    <w:p w:rsidR="00E632C8" w:rsidRDefault="00E632C8">
      <w:pPr>
        <w:pStyle w:val="TableParagraph"/>
        <w:rPr>
          <w:sz w:val="24"/>
        </w:rPr>
        <w:sectPr w:rsidR="00E632C8">
          <w:pgSz w:w="12240" w:h="15840"/>
          <w:pgMar w:top="2600" w:right="720" w:bottom="1280" w:left="1080" w:header="718" w:footer="1094" w:gutter="0"/>
          <w:cols w:space="720"/>
        </w:sectPr>
      </w:pPr>
    </w:p>
    <w:p w:rsidR="00E632C8" w:rsidRDefault="00E632C8">
      <w:pPr>
        <w:pStyle w:val="BodyText"/>
        <w:spacing w:before="43"/>
        <w:ind w:left="0" w:right="0"/>
        <w:jc w:val="left"/>
        <w:rPr>
          <w:b/>
          <w:sz w:val="20"/>
        </w:rPr>
      </w:pPr>
    </w:p>
    <w:p w:rsidR="00E632C8" w:rsidRDefault="00D21170">
      <w:pPr>
        <w:spacing w:line="20" w:lineRule="exact"/>
        <w:ind w:left="252"/>
        <w:rPr>
          <w:sz w:val="2"/>
        </w:rPr>
      </w:pPr>
      <w:r>
        <w:rPr>
          <w:noProof/>
          <w:sz w:val="2"/>
        </w:rPr>
        <mc:AlternateContent>
          <mc:Choice Requires="wpg">
            <w:drawing>
              <wp:inline distT="0" distB="0" distL="0" distR="0">
                <wp:extent cx="5716270"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6270" cy="6350"/>
                          <a:chOff x="0" y="0"/>
                          <a:chExt cx="5716270" cy="6350"/>
                        </a:xfrm>
                      </wpg:grpSpPr>
                      <wps:wsp>
                        <wps:cNvPr id="8" name="Graphic 8"/>
                        <wps:cNvSpPr/>
                        <wps:spPr>
                          <a:xfrm>
                            <a:off x="0" y="0"/>
                            <a:ext cx="5716270" cy="6350"/>
                          </a:xfrm>
                          <a:custGeom>
                            <a:avLst/>
                            <a:gdLst/>
                            <a:ahLst/>
                            <a:cxnLst/>
                            <a:rect l="l" t="t" r="r" b="b"/>
                            <a:pathLst>
                              <a:path w="5716270" h="6350">
                                <a:moveTo>
                                  <a:pt x="2350262" y="0"/>
                                </a:moveTo>
                                <a:lnTo>
                                  <a:pt x="1530045" y="0"/>
                                </a:lnTo>
                                <a:lnTo>
                                  <a:pt x="1524000" y="0"/>
                                </a:lnTo>
                                <a:lnTo>
                                  <a:pt x="0" y="0"/>
                                </a:lnTo>
                                <a:lnTo>
                                  <a:pt x="0" y="6096"/>
                                </a:lnTo>
                                <a:lnTo>
                                  <a:pt x="1523949" y="6096"/>
                                </a:lnTo>
                                <a:lnTo>
                                  <a:pt x="1530045" y="6096"/>
                                </a:lnTo>
                                <a:lnTo>
                                  <a:pt x="2350262" y="6096"/>
                                </a:lnTo>
                                <a:lnTo>
                                  <a:pt x="2350262" y="0"/>
                                </a:lnTo>
                                <a:close/>
                              </a:path>
                              <a:path w="5716270" h="6350">
                                <a:moveTo>
                                  <a:pt x="4895659" y="0"/>
                                </a:moveTo>
                                <a:lnTo>
                                  <a:pt x="4895659" y="0"/>
                                </a:lnTo>
                                <a:lnTo>
                                  <a:pt x="2350338" y="0"/>
                                </a:lnTo>
                                <a:lnTo>
                                  <a:pt x="2350338" y="6096"/>
                                </a:lnTo>
                                <a:lnTo>
                                  <a:pt x="4895659" y="6096"/>
                                </a:lnTo>
                                <a:lnTo>
                                  <a:pt x="4895659" y="0"/>
                                </a:lnTo>
                                <a:close/>
                              </a:path>
                              <a:path w="5716270" h="6350">
                                <a:moveTo>
                                  <a:pt x="5715876" y="0"/>
                                </a:moveTo>
                                <a:lnTo>
                                  <a:pt x="4895672" y="0"/>
                                </a:lnTo>
                                <a:lnTo>
                                  <a:pt x="4895672" y="6096"/>
                                </a:lnTo>
                                <a:lnTo>
                                  <a:pt x="5715876" y="6096"/>
                                </a:lnTo>
                                <a:lnTo>
                                  <a:pt x="5715876"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w14:anchorId="6A6F5E57" id="Group 7" o:spid="_x0000_s1026" style="width:450.1pt;height:.5pt;mso-position-horizontal-relative:char;mso-position-vertical-relative:line" coordsize="571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">
                <v:shape id="Graphic 8" o:spid="_x0000_s1027" style="position:absolute;width:57162;height:63;visibility:visible;mso-wrap-style:square;v-text-anchor:top" coordsize="5716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" path="m2350262,l1530045,r-6045,l,,,6096r1523949,l1530045,6096r820217,l2350262,xem4895659,r,l2350338,r,6096l4895659,6096r,-6096xem5715876,l4895672,r,6096l5715876,6096r,-6096xe" fillcolor="#7e7e7e" stroked="f">
                  <v:path arrowok="t"/>
                </v:shape>
                <w10:anchorlock/>
              </v:group>
            </w:pict>
          </mc:Fallback>
        </mc:AlternateContent>
      </w:r>
    </w:p>
    <w:p w:rsidR="00E632C8" w:rsidRDefault="00D21170">
      <w:pPr>
        <w:pStyle w:val="BodyText"/>
        <w:tabs>
          <w:tab w:val="left" w:pos="3032"/>
          <w:tab w:val="left" w:pos="4433"/>
          <w:tab w:val="left" w:pos="5883"/>
          <w:tab w:val="left" w:pos="7191"/>
          <w:tab w:val="left" w:pos="8332"/>
        </w:tabs>
        <w:ind w:right="0"/>
      </w:pPr>
      <w:r>
        <w:rPr>
          <w:noProof/>
        </w:rPr>
        <mc:AlternateContent>
          <mc:Choice Requires="wps">
            <w:drawing>
              <wp:anchor distT="0" distB="0" distL="0" distR="0" simplePos="0" relativeHeight="487588352" behindDoc="1" locked="0" layoutInCell="1" allowOverlap="1">
                <wp:simplePos x="0" y="0"/>
                <wp:positionH relativeFrom="page">
                  <wp:posOffset>836980</wp:posOffset>
                </wp:positionH>
                <wp:positionV relativeFrom="paragraph">
                  <wp:posOffset>196087</wp:posOffset>
                </wp:positionV>
                <wp:extent cx="572516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6350"/>
                        </a:xfrm>
                        <a:custGeom>
                          <a:avLst/>
                          <a:gdLst/>
                          <a:ahLst/>
                          <a:cxnLst/>
                          <a:rect l="l" t="t" r="r" b="b"/>
                          <a:pathLst>
                            <a:path w="5725160" h="6350">
                              <a:moveTo>
                                <a:pt x="5725020" y="0"/>
                              </a:moveTo>
                              <a:lnTo>
                                <a:pt x="5725020" y="0"/>
                              </a:lnTo>
                              <a:lnTo>
                                <a:pt x="0" y="0"/>
                              </a:lnTo>
                              <a:lnTo>
                                <a:pt x="0" y="6096"/>
                              </a:lnTo>
                              <a:lnTo>
                                <a:pt x="5725020" y="6096"/>
                              </a:lnTo>
                              <a:lnTo>
                                <a:pt x="5725020"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1CD7D9DC" id="Graphic 9" o:spid="_x0000_s1026" style="position:absolute;margin-left:65.9pt;margin-top:15.45pt;width:450.8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251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" path="m5725020,r,l,,,6096r5725020,l5725020,xe" fillcolor="#7e7e7e" stroked="f">
                <v:path arrowok="t"/>
                <w10:wrap type="topAndBottom" anchorx="page"/>
              </v:shape>
            </w:pict>
          </mc:Fallback>
        </mc:AlternateContent>
      </w:r>
      <w:r>
        <w:rPr>
          <w:spacing w:val="-2"/>
        </w:rPr>
        <w:t>Tangibility</w:t>
      </w:r>
      <w:r>
        <w:tab/>
      </w:r>
      <w:r>
        <w:rPr>
          <w:spacing w:val="-2"/>
        </w:rPr>
        <w:t>0.087</w:t>
      </w:r>
      <w:r>
        <w:tab/>
      </w:r>
      <w:r>
        <w:rPr>
          <w:spacing w:val="-2"/>
        </w:rPr>
        <w:t>0.050</w:t>
      </w:r>
      <w:r>
        <w:tab/>
      </w:r>
      <w:r>
        <w:rPr>
          <w:spacing w:val="-2"/>
        </w:rPr>
        <w:t>0.089</w:t>
      </w:r>
      <w:r>
        <w:tab/>
      </w:r>
      <w:r>
        <w:rPr>
          <w:spacing w:val="-4"/>
        </w:rPr>
        <w:t>1.74</w:t>
      </w:r>
      <w:r>
        <w:tab/>
      </w:r>
      <w:r>
        <w:rPr>
          <w:spacing w:val="-2"/>
        </w:rPr>
        <w:t>0.084</w:t>
      </w:r>
    </w:p>
    <w:p w:rsidR="00E632C8" w:rsidRDefault="00D21170">
      <w:pPr>
        <w:spacing w:line="276" w:lineRule="auto"/>
        <w:ind w:left="360" w:right="1501"/>
        <w:jc w:val="both"/>
        <w:rPr>
          <w:i/>
          <w:sz w:val="24"/>
        </w:rPr>
      </w:pPr>
      <w:r>
        <w:rPr>
          <w:i/>
          <w:sz w:val="24"/>
        </w:rPr>
        <w:t>Dependent</w:t>
      </w:r>
      <w:r>
        <w:rPr>
          <w:i/>
          <w:spacing w:val="-3"/>
          <w:sz w:val="24"/>
        </w:rPr>
        <w:t xml:space="preserve"> </w:t>
      </w:r>
      <w:r>
        <w:rPr>
          <w:i/>
          <w:sz w:val="24"/>
        </w:rPr>
        <w:t>Variable:</w:t>
      </w:r>
      <w:r>
        <w:rPr>
          <w:i/>
          <w:spacing w:val="-5"/>
          <w:sz w:val="24"/>
        </w:rPr>
        <w:t xml:space="preserve"> </w:t>
      </w:r>
      <w:r>
        <w:rPr>
          <w:i/>
          <w:sz w:val="24"/>
        </w:rPr>
        <w:t>Customer</w:t>
      </w:r>
      <w:r>
        <w:rPr>
          <w:i/>
          <w:spacing w:val="-4"/>
          <w:sz w:val="24"/>
        </w:rPr>
        <w:t xml:space="preserve"> </w:t>
      </w:r>
      <w:r>
        <w:rPr>
          <w:i/>
          <w:sz w:val="24"/>
        </w:rPr>
        <w:t>Satisfaction.</w:t>
      </w:r>
      <w:r>
        <w:rPr>
          <w:i/>
          <w:spacing w:val="-3"/>
          <w:sz w:val="24"/>
        </w:rPr>
        <w:t xml:space="preserve"> </w:t>
      </w:r>
      <w:r>
        <w:rPr>
          <w:i/>
          <w:sz w:val="24"/>
        </w:rPr>
        <w:t>R</w:t>
      </w:r>
      <w:r>
        <w:rPr>
          <w:i/>
          <w:spacing w:val="-3"/>
          <w:sz w:val="24"/>
        </w:rPr>
        <w:t xml:space="preserve"> </w:t>
      </w:r>
      <w:r>
        <w:rPr>
          <w:i/>
          <w:sz w:val="24"/>
        </w:rPr>
        <w:t>=</w:t>
      </w:r>
      <w:r>
        <w:rPr>
          <w:i/>
          <w:spacing w:val="-3"/>
          <w:sz w:val="24"/>
        </w:rPr>
        <w:t xml:space="preserve"> </w:t>
      </w:r>
      <w:r>
        <w:rPr>
          <w:i/>
          <w:sz w:val="24"/>
        </w:rPr>
        <w:t>0.742,</w:t>
      </w:r>
      <w:r>
        <w:rPr>
          <w:i/>
          <w:spacing w:val="-3"/>
          <w:sz w:val="24"/>
        </w:rPr>
        <w:t xml:space="preserve"> </w:t>
      </w:r>
      <w:r>
        <w:rPr>
          <w:i/>
          <w:sz w:val="24"/>
        </w:rPr>
        <w:t>R²</w:t>
      </w:r>
      <w:r>
        <w:rPr>
          <w:i/>
          <w:spacing w:val="-3"/>
          <w:sz w:val="24"/>
        </w:rPr>
        <w:t xml:space="preserve"> </w:t>
      </w:r>
      <w:r>
        <w:rPr>
          <w:i/>
          <w:sz w:val="24"/>
        </w:rPr>
        <w:t>=</w:t>
      </w:r>
      <w:r>
        <w:rPr>
          <w:i/>
          <w:spacing w:val="-3"/>
          <w:sz w:val="24"/>
        </w:rPr>
        <w:t xml:space="preserve"> </w:t>
      </w:r>
      <w:r>
        <w:rPr>
          <w:i/>
          <w:sz w:val="24"/>
        </w:rPr>
        <w:t>0.551,</w:t>
      </w:r>
      <w:r>
        <w:rPr>
          <w:i/>
          <w:spacing w:val="-3"/>
          <w:sz w:val="24"/>
        </w:rPr>
        <w:t xml:space="preserve"> </w:t>
      </w:r>
      <w:r>
        <w:rPr>
          <w:i/>
          <w:sz w:val="24"/>
        </w:rPr>
        <w:t>Adjusted</w:t>
      </w:r>
      <w:r>
        <w:rPr>
          <w:i/>
          <w:spacing w:val="-3"/>
          <w:sz w:val="24"/>
        </w:rPr>
        <w:t xml:space="preserve"> </w:t>
      </w:r>
      <w:r>
        <w:rPr>
          <w:i/>
          <w:sz w:val="24"/>
        </w:rPr>
        <w:t>R²</w:t>
      </w:r>
      <w:r>
        <w:rPr>
          <w:i/>
          <w:spacing w:val="-3"/>
          <w:sz w:val="24"/>
        </w:rPr>
        <w:t xml:space="preserve"> </w:t>
      </w:r>
      <w:r>
        <w:rPr>
          <w:i/>
          <w:sz w:val="24"/>
        </w:rPr>
        <w:t>=</w:t>
      </w:r>
      <w:r>
        <w:rPr>
          <w:i/>
          <w:spacing w:val="-3"/>
          <w:sz w:val="24"/>
        </w:rPr>
        <w:t xml:space="preserve"> </w:t>
      </w:r>
      <w:r>
        <w:rPr>
          <w:i/>
          <w:sz w:val="24"/>
        </w:rPr>
        <w:t xml:space="preserve">0.535, </w:t>
      </w:r>
      <w:proofErr w:type="gramStart"/>
      <w:r>
        <w:rPr>
          <w:i/>
          <w:sz w:val="24"/>
        </w:rPr>
        <w:t>F(</w:t>
      </w:r>
      <w:proofErr w:type="gramEnd"/>
      <w:r>
        <w:rPr>
          <w:i/>
          <w:sz w:val="24"/>
        </w:rPr>
        <w:t>5,144) = 35.24, p &lt; 0.001. Source: SPSS Linear Regression output.</w:t>
      </w:r>
    </w:p>
    <w:p w:rsidR="00E632C8" w:rsidRDefault="00D21170">
      <w:pPr>
        <w:pStyle w:val="BodyText"/>
        <w:spacing w:line="276" w:lineRule="auto"/>
        <w:ind w:right="714"/>
      </w:pPr>
      <w:r>
        <w:t>Since the overall regression model is statistically significant (p &lt; 0.001) and three of the five dimensions individually attain significance at the</w:t>
      </w:r>
      <w:r>
        <w:t xml:space="preserve"> 0.05 level, the null hypothesis H01 is rejected and the alternative hypothesis Ha1 is accepted: e-banking service quality dimensions are significantly related to customer satisfaction among SBI customers in Muzaffarpur district.</w:t>
      </w:r>
    </w:p>
    <w:p w:rsidR="00E632C8" w:rsidRDefault="00D21170">
      <w:pPr>
        <w:pStyle w:val="BodyText"/>
        <w:spacing w:line="276" w:lineRule="auto"/>
        <w:ind w:right="719"/>
      </w:pPr>
      <w:r>
        <w:t>To test H02/Ha2, an indepe</w:t>
      </w:r>
      <w:r>
        <w:t xml:space="preserve">ndent samples t-test compared mean customer satisfaction scores between male (M = 3.83, SD = 0.58) and female (M = 3.75, SD = 0.63) respondents. The test produced </w:t>
      </w:r>
      <w:proofErr w:type="gramStart"/>
      <w:r>
        <w:t>t(</w:t>
      </w:r>
      <w:proofErr w:type="gramEnd"/>
      <w:r>
        <w:t>148) = 1.12, p = 0.264, which is not significant at the 0.05 level. The null hypothesis H02</w:t>
      </w:r>
      <w:r>
        <w:t xml:space="preserve"> is therefore retained: there is no statistically significant difference in customer satisfaction with e-banking services between male and female SBI customers in the district, suggesting that gender is not a major determinant of satisfaction in this conte</w:t>
      </w:r>
      <w:r>
        <w:t>xt, consistent with the broadly gender-neutral design of digital banking interfaces.</w:t>
      </w:r>
    </w:p>
    <w:p w:rsidR="00E632C8" w:rsidRDefault="00D21170">
      <w:pPr>
        <w:pStyle w:val="BodyText"/>
        <w:spacing w:line="276" w:lineRule="auto"/>
        <w:ind w:right="717"/>
      </w:pPr>
      <w:r>
        <w:t xml:space="preserve">To test H03/Ha3, a one-way ANOVA compared mean customer satisfaction scores across the five age groups. The results showed a statistically significant difference, </w:t>
      </w:r>
      <w:proofErr w:type="gramStart"/>
      <w:r>
        <w:t>F(</w:t>
      </w:r>
      <w:proofErr w:type="gramEnd"/>
      <w:r>
        <w:t>4, 145</w:t>
      </w:r>
      <w:r>
        <w:t xml:space="preserve">) = 2.51, p = 0.044, which is below the 0.05 threshold. The null hypothesis H03 is therefore rejected in </w:t>
      </w:r>
      <w:proofErr w:type="spellStart"/>
      <w:r>
        <w:t>favour</w:t>
      </w:r>
      <w:proofErr w:type="spellEnd"/>
      <w:r>
        <w:t xml:space="preserve"> of Ha3: customer satisfaction with e-banking services differs significantly across age groups. Post-hoc comparison of group means indicated that</w:t>
      </w:r>
      <w:r>
        <w:t xml:space="preserve"> respondents in the 26–35 age bracket reported the highest satisfaction (M = 3.94), while respondents above 55 years reported comparatively lower satisfaction (M = 3.48), plausibly reflecting generational differences in digital literacy and comfort with se</w:t>
      </w:r>
      <w:r>
        <w:t>lf-service banking channels.</w:t>
      </w:r>
    </w:p>
    <w:p w:rsidR="00E632C8" w:rsidRDefault="00D21170">
      <w:pPr>
        <w:pStyle w:val="Heading1"/>
        <w:numPr>
          <w:ilvl w:val="1"/>
          <w:numId w:val="2"/>
        </w:numPr>
        <w:tabs>
          <w:tab w:val="left" w:pos="720"/>
        </w:tabs>
        <w:jc w:val="both"/>
      </w:pPr>
      <w:r>
        <w:t>Discussion</w:t>
      </w:r>
      <w:r>
        <w:rPr>
          <w:spacing w:val="-1"/>
        </w:rPr>
        <w:t xml:space="preserve"> </w:t>
      </w:r>
      <w:r>
        <w:t>of</w:t>
      </w:r>
      <w:r>
        <w:rPr>
          <w:spacing w:val="-1"/>
        </w:rPr>
        <w:t xml:space="preserve"> </w:t>
      </w:r>
      <w:r>
        <w:rPr>
          <w:spacing w:val="-2"/>
        </w:rPr>
        <w:t>Findings</w:t>
      </w:r>
    </w:p>
    <w:p w:rsidR="00E632C8" w:rsidRDefault="00D21170">
      <w:pPr>
        <w:pStyle w:val="BodyText"/>
        <w:spacing w:before="41" w:line="276" w:lineRule="auto"/>
        <w:ind w:right="718"/>
      </w:pPr>
      <w:r>
        <w:t>The results of this study are broadly consistent with prior e-banking service quality research reviewed in Section 2. As in the findings of Raza et al. (2020) and Tetteh (2022), reliability and responsive</w:t>
      </w:r>
      <w:r>
        <w:t>ness emerged as the dimensions most strongly associated with customer satisfaction, reinforcing the view that customers place a premium on system uptime, transaction accuracy,</w:t>
      </w:r>
      <w:r>
        <w:rPr>
          <w:spacing w:val="40"/>
        </w:rPr>
        <w:t xml:space="preserve"> </w:t>
      </w:r>
      <w:r>
        <w:t>and prompt problem resolution over more peripheral service attributes. The compa</w:t>
      </w:r>
      <w:r>
        <w:t xml:space="preserve">ratively weaker, though still positive, contribution of empathy and tangibility echoes the findings of Shankar and Rishi (2020), who </w:t>
      </w:r>
      <w:proofErr w:type="spellStart"/>
      <w:r>
        <w:t>emphasised</w:t>
      </w:r>
      <w:proofErr w:type="spellEnd"/>
      <w:r>
        <w:t xml:space="preserve"> convenience over interpersonal or aesthetic dimensions in mobile banking adoption. The absence of a significant </w:t>
      </w:r>
      <w:r>
        <w:t xml:space="preserve">gender difference aligns with the increasingly gender-neutral design of self-service digital channels, while the significant age-based difference corroborates </w:t>
      </w:r>
      <w:proofErr w:type="spellStart"/>
      <w:r>
        <w:t>Machogu</w:t>
      </w:r>
      <w:proofErr w:type="spellEnd"/>
      <w:r>
        <w:t xml:space="preserve"> and </w:t>
      </w:r>
      <w:proofErr w:type="spellStart"/>
      <w:r>
        <w:t>Okiko's</w:t>
      </w:r>
      <w:proofErr w:type="spellEnd"/>
      <w:r>
        <w:t xml:space="preserve"> (2015) observation that demographic factors can moderate the customer experie</w:t>
      </w:r>
      <w:r>
        <w:t>nce of e-banking complexity. Taken together, these findings suggest that SBI branches in Muzaffarpur would benefit most from investments that strengthen</w:t>
      </w:r>
      <w:r>
        <w:rPr>
          <w:spacing w:val="26"/>
        </w:rPr>
        <w:t xml:space="preserve"> </w:t>
      </w:r>
      <w:r>
        <w:t>system</w:t>
      </w:r>
      <w:r>
        <w:rPr>
          <w:spacing w:val="27"/>
        </w:rPr>
        <w:t xml:space="preserve"> </w:t>
      </w:r>
      <w:r>
        <w:t>reliability</w:t>
      </w:r>
      <w:r>
        <w:rPr>
          <w:spacing w:val="27"/>
        </w:rPr>
        <w:t xml:space="preserve"> </w:t>
      </w:r>
      <w:r>
        <w:t>and</w:t>
      </w:r>
      <w:r>
        <w:rPr>
          <w:spacing w:val="26"/>
        </w:rPr>
        <w:t xml:space="preserve"> </w:t>
      </w:r>
      <w:r>
        <w:t>responsiveness—such</w:t>
      </w:r>
      <w:r>
        <w:rPr>
          <w:spacing w:val="27"/>
        </w:rPr>
        <w:t xml:space="preserve"> </w:t>
      </w:r>
      <w:r>
        <w:t>as</w:t>
      </w:r>
      <w:r>
        <w:rPr>
          <w:spacing w:val="26"/>
        </w:rPr>
        <w:t xml:space="preserve"> </w:t>
      </w:r>
      <w:r>
        <w:t>reducing</w:t>
      </w:r>
      <w:r>
        <w:rPr>
          <w:spacing w:val="28"/>
        </w:rPr>
        <w:t xml:space="preserve"> </w:t>
      </w:r>
      <w:r>
        <w:t>server</w:t>
      </w:r>
      <w:r>
        <w:rPr>
          <w:spacing w:val="25"/>
        </w:rPr>
        <w:t xml:space="preserve"> </w:t>
      </w:r>
      <w:r>
        <w:t>downtime,</w:t>
      </w:r>
      <w:r>
        <w:rPr>
          <w:spacing w:val="27"/>
        </w:rPr>
        <w:t xml:space="preserve"> </w:t>
      </w:r>
      <w:r>
        <w:rPr>
          <w:spacing w:val="-2"/>
        </w:rPr>
        <w:t>speeding</w:t>
      </w:r>
    </w:p>
    <w:p w:rsidR="00E632C8" w:rsidRDefault="00E632C8">
      <w:pPr>
        <w:pStyle w:val="BodyText"/>
        <w:spacing w:line="276" w:lineRule="auto"/>
        <w:sectPr w:rsidR="00E632C8">
          <w:pgSz w:w="12240" w:h="15840"/>
          <w:pgMar w:top="2600" w:right="720" w:bottom="1280" w:left="1080" w:header="718" w:footer="1094" w:gutter="0"/>
          <w:cols w:space="720"/>
        </w:sectPr>
      </w:pPr>
    </w:p>
    <w:p w:rsidR="00E632C8" w:rsidRDefault="00D21170">
      <w:pPr>
        <w:pStyle w:val="BodyText"/>
        <w:spacing w:before="272" w:line="278" w:lineRule="auto"/>
        <w:ind w:right="720"/>
      </w:pPr>
      <w:r>
        <w:t>up compl</w:t>
      </w:r>
      <w:r>
        <w:t>aint resolution, and simplifying the YONO and internet banking interfaces for older customers—rather than from generic digital marketing or purely cosmetic interface changes.</w:t>
      </w:r>
    </w:p>
    <w:p w:rsidR="00E632C8" w:rsidRDefault="00D21170">
      <w:pPr>
        <w:pStyle w:val="BodyText"/>
        <w:spacing w:line="276" w:lineRule="auto"/>
        <w:ind w:right="714"/>
      </w:pPr>
      <w:r>
        <w:t xml:space="preserve">Beyond the specific coefficients reported above, the pattern of findings carries </w:t>
      </w:r>
      <w:r>
        <w:t>a broader implication for how public sector banks in tier-two and tier-three markets should sequence their digital investment priorities. In markets where customers are transitioning from branch-based to digital banking relationships, as is the case in muc</w:t>
      </w:r>
      <w:r>
        <w:t>h of Muzaffarpur district, the marginal value</w:t>
      </w:r>
      <w:r>
        <w:rPr>
          <w:spacing w:val="80"/>
        </w:rPr>
        <w:t xml:space="preserve"> </w:t>
      </w:r>
      <w:r>
        <w:t>of</w:t>
      </w:r>
      <w:r>
        <w:rPr>
          <w:spacing w:val="-2"/>
        </w:rPr>
        <w:t xml:space="preserve"> </w:t>
      </w:r>
      <w:r>
        <w:t>improving</w:t>
      </w:r>
      <w:r>
        <w:rPr>
          <w:spacing w:val="-2"/>
        </w:rPr>
        <w:t xml:space="preserve"> </w:t>
      </w:r>
      <w:r>
        <w:t>core</w:t>
      </w:r>
      <w:r>
        <w:rPr>
          <w:spacing w:val="-3"/>
        </w:rPr>
        <w:t xml:space="preserve"> </w:t>
      </w:r>
      <w:r>
        <w:t>functional</w:t>
      </w:r>
      <w:r>
        <w:rPr>
          <w:spacing w:val="-1"/>
        </w:rPr>
        <w:t xml:space="preserve"> </w:t>
      </w:r>
      <w:r>
        <w:t>reliability</w:t>
      </w:r>
      <w:r>
        <w:rPr>
          <w:spacing w:val="-1"/>
        </w:rPr>
        <w:t xml:space="preserve"> </w:t>
      </w:r>
      <w:r>
        <w:t>appears</w:t>
      </w:r>
      <w:r>
        <w:rPr>
          <w:spacing w:val="-2"/>
        </w:rPr>
        <w:t xml:space="preserve"> </w:t>
      </w:r>
      <w:r>
        <w:t>to</w:t>
      </w:r>
      <w:r>
        <w:rPr>
          <w:spacing w:val="-1"/>
        </w:rPr>
        <w:t xml:space="preserve"> </w:t>
      </w:r>
      <w:r>
        <w:t>exceed</w:t>
      </w:r>
      <w:r>
        <w:rPr>
          <w:spacing w:val="-1"/>
        </w:rPr>
        <w:t xml:space="preserve"> </w:t>
      </w:r>
      <w:r>
        <w:t>the</w:t>
      </w:r>
      <w:r>
        <w:rPr>
          <w:spacing w:val="-2"/>
        </w:rPr>
        <w:t xml:space="preserve"> </w:t>
      </w:r>
      <w:r>
        <w:t>marginal</w:t>
      </w:r>
      <w:r>
        <w:rPr>
          <w:spacing w:val="-1"/>
        </w:rPr>
        <w:t xml:space="preserve"> </w:t>
      </w:r>
      <w:r>
        <w:t>value</w:t>
      </w:r>
      <w:r>
        <w:rPr>
          <w:spacing w:val="-2"/>
        </w:rPr>
        <w:t xml:space="preserve"> </w:t>
      </w:r>
      <w:r>
        <w:t>of</w:t>
      </w:r>
      <w:r>
        <w:rPr>
          <w:spacing w:val="-2"/>
        </w:rPr>
        <w:t xml:space="preserve"> </w:t>
      </w:r>
      <w:r>
        <w:t>enhancing</w:t>
      </w:r>
      <w:r>
        <w:rPr>
          <w:spacing w:val="-1"/>
        </w:rPr>
        <w:t xml:space="preserve"> </w:t>
      </w:r>
      <w:r>
        <w:t>softer, relationship-oriented attributes such as empathy or the visual design of digital interfaces. This does not imply that empathy and tangibility are unimportant—both remain positively and significantly correlated with satisfaction at the bivariate lev</w:t>
      </w:r>
      <w:r>
        <w:t>el in Table 4—but rather that, once core functional performance is controlled for, they explain comparatively less additional variance.</w:t>
      </w:r>
      <w:r>
        <w:rPr>
          <w:spacing w:val="-3"/>
        </w:rPr>
        <w:t xml:space="preserve"> </w:t>
      </w:r>
      <w:r>
        <w:t>This</w:t>
      </w:r>
      <w:r>
        <w:rPr>
          <w:spacing w:val="-4"/>
        </w:rPr>
        <w:t xml:space="preserve"> </w:t>
      </w:r>
      <w:r>
        <w:t>distinction</w:t>
      </w:r>
      <w:r>
        <w:rPr>
          <w:spacing w:val="-3"/>
        </w:rPr>
        <w:t xml:space="preserve"> </w:t>
      </w:r>
      <w:r>
        <w:t>matters</w:t>
      </w:r>
      <w:r>
        <w:rPr>
          <w:spacing w:val="-4"/>
        </w:rPr>
        <w:t xml:space="preserve"> </w:t>
      </w:r>
      <w:r>
        <w:t>for</w:t>
      </w:r>
      <w:r>
        <w:rPr>
          <w:spacing w:val="-3"/>
        </w:rPr>
        <w:t xml:space="preserve"> </w:t>
      </w:r>
      <w:r>
        <w:t>resource</w:t>
      </w:r>
      <w:r>
        <w:rPr>
          <w:spacing w:val="-4"/>
        </w:rPr>
        <w:t xml:space="preserve"> </w:t>
      </w:r>
      <w:r>
        <w:t>allocation:</w:t>
      </w:r>
      <w:r>
        <w:rPr>
          <w:spacing w:val="-3"/>
        </w:rPr>
        <w:t xml:space="preserve"> </w:t>
      </w:r>
      <w:r>
        <w:t>a</w:t>
      </w:r>
      <w:r>
        <w:rPr>
          <w:spacing w:val="-3"/>
        </w:rPr>
        <w:t xml:space="preserve"> </w:t>
      </w:r>
      <w:r>
        <w:t>branch</w:t>
      </w:r>
      <w:r>
        <w:rPr>
          <w:spacing w:val="-3"/>
        </w:rPr>
        <w:t xml:space="preserve"> </w:t>
      </w:r>
      <w:r>
        <w:t>manager</w:t>
      </w:r>
      <w:r>
        <w:rPr>
          <w:spacing w:val="-2"/>
        </w:rPr>
        <w:t xml:space="preserve"> </w:t>
      </w:r>
      <w:r>
        <w:t>with</w:t>
      </w:r>
      <w:r>
        <w:rPr>
          <w:spacing w:val="-3"/>
        </w:rPr>
        <w:t xml:space="preserve"> </w:t>
      </w:r>
      <w:r>
        <w:t>a</w:t>
      </w:r>
      <w:r>
        <w:rPr>
          <w:spacing w:val="-3"/>
        </w:rPr>
        <w:t xml:space="preserve"> </w:t>
      </w:r>
      <w:r>
        <w:t>limited</w:t>
      </w:r>
      <w:r>
        <w:rPr>
          <w:spacing w:val="-3"/>
        </w:rPr>
        <w:t xml:space="preserve"> </w:t>
      </w:r>
      <w:r>
        <w:t>budget for staff training versus syste</w:t>
      </w:r>
      <w:r>
        <w:t>m upgrades would, on the basis of this evidence, be better advised</w:t>
      </w:r>
      <w:r>
        <w:rPr>
          <w:spacing w:val="40"/>
        </w:rPr>
        <w:t xml:space="preserve"> </w:t>
      </w:r>
      <w:r>
        <w:t xml:space="preserve">to </w:t>
      </w:r>
      <w:proofErr w:type="spellStart"/>
      <w:r>
        <w:t>prioritise</w:t>
      </w:r>
      <w:proofErr w:type="spellEnd"/>
      <w:r>
        <w:t xml:space="preserve"> system-level reliability and responsiveness improvements before investing further in interpersonal service training, at least in the short run.</w:t>
      </w:r>
    </w:p>
    <w:p w:rsidR="00E632C8" w:rsidRDefault="00D21170">
      <w:pPr>
        <w:pStyle w:val="Heading1"/>
        <w:numPr>
          <w:ilvl w:val="0"/>
          <w:numId w:val="2"/>
        </w:numPr>
        <w:tabs>
          <w:tab w:val="left" w:pos="600"/>
        </w:tabs>
        <w:jc w:val="both"/>
      </w:pPr>
      <w:r>
        <w:rPr>
          <w:spacing w:val="-2"/>
        </w:rPr>
        <w:t>Conclusion</w:t>
      </w:r>
    </w:p>
    <w:p w:rsidR="00E632C8" w:rsidRDefault="00D21170">
      <w:pPr>
        <w:pStyle w:val="BodyText"/>
        <w:spacing w:before="37" w:line="276" w:lineRule="auto"/>
        <w:ind w:right="717"/>
      </w:pPr>
      <w:r>
        <w:t>This study set out to examine customer perceptions of e-banking service quality and their relationship with customer satisfaction among State Bank of India customers in Muzaffarpur district, using a SERVQUAL-based instrument administered to 150 respondents</w:t>
      </w:r>
      <w:r>
        <w:t xml:space="preserve"> and </w:t>
      </w:r>
      <w:proofErr w:type="spellStart"/>
      <w:r>
        <w:t>analysed</w:t>
      </w:r>
      <w:proofErr w:type="spellEnd"/>
      <w:r>
        <w:t xml:space="preserve"> through</w:t>
      </w:r>
      <w:r>
        <w:rPr>
          <w:spacing w:val="-4"/>
        </w:rPr>
        <w:t xml:space="preserve"> </w:t>
      </w:r>
      <w:r>
        <w:t>SPSS.</w:t>
      </w:r>
      <w:r>
        <w:rPr>
          <w:spacing w:val="-4"/>
        </w:rPr>
        <w:t xml:space="preserve"> </w:t>
      </w:r>
      <w:r>
        <w:t>The</w:t>
      </w:r>
      <w:r>
        <w:rPr>
          <w:spacing w:val="-6"/>
        </w:rPr>
        <w:t xml:space="preserve"> </w:t>
      </w:r>
      <w:r>
        <w:t>findings</w:t>
      </w:r>
      <w:r>
        <w:rPr>
          <w:spacing w:val="-5"/>
        </w:rPr>
        <w:t xml:space="preserve"> </w:t>
      </w:r>
      <w:r>
        <w:t>demonstrate</w:t>
      </w:r>
      <w:r>
        <w:rPr>
          <w:spacing w:val="-4"/>
        </w:rPr>
        <w:t xml:space="preserve"> </w:t>
      </w:r>
      <w:r>
        <w:t>that</w:t>
      </w:r>
      <w:r>
        <w:rPr>
          <w:spacing w:val="-4"/>
        </w:rPr>
        <w:t xml:space="preserve"> </w:t>
      </w:r>
      <w:r>
        <w:t>reliability,</w:t>
      </w:r>
      <w:r>
        <w:rPr>
          <w:spacing w:val="-4"/>
        </w:rPr>
        <w:t xml:space="preserve"> </w:t>
      </w:r>
      <w:r>
        <w:t>responsiveness,</w:t>
      </w:r>
      <w:r>
        <w:rPr>
          <w:spacing w:val="-2"/>
        </w:rPr>
        <w:t xml:space="preserve"> </w:t>
      </w:r>
      <w:r>
        <w:t>assurance,</w:t>
      </w:r>
      <w:r>
        <w:rPr>
          <w:spacing w:val="-2"/>
        </w:rPr>
        <w:t xml:space="preserve"> </w:t>
      </w:r>
      <w:r>
        <w:t>empathy,</w:t>
      </w:r>
      <w:r>
        <w:rPr>
          <w:spacing w:val="-2"/>
        </w:rPr>
        <w:t xml:space="preserve"> </w:t>
      </w:r>
      <w:r>
        <w:t>and tangibility are all positively associated with customer satisfaction, with reliability and responsiveness exerting the strongest and most statist</w:t>
      </w:r>
      <w:r>
        <w:t>ically significant influence. The overall regression model confirms that these five dimensions jointly account for a substantial share of</w:t>
      </w:r>
      <w:r>
        <w:rPr>
          <w:spacing w:val="40"/>
        </w:rPr>
        <w:t xml:space="preserve"> </w:t>
      </w:r>
      <w:r>
        <w:t>the variation in customer satisfaction, providing strong empirical support for the hypothesis that e-banking service q</w:t>
      </w:r>
      <w:r>
        <w:t>uality meaningfully shapes customer satisfaction in this district-level, public-sector-bank context. Hypothesis testing further revealed that satisfaction does not differ significantly by gender but does differ significantly across age groups, with younger</w:t>
      </w:r>
      <w:r>
        <w:t xml:space="preserve"> and middle-aged customers reporting higher satisfaction than older customers.</w:t>
      </w:r>
    </w:p>
    <w:p w:rsidR="00E632C8" w:rsidRDefault="00D21170">
      <w:pPr>
        <w:pStyle w:val="BodyText"/>
        <w:spacing w:before="1" w:line="276" w:lineRule="auto"/>
      </w:pPr>
      <w:r>
        <w:t>From a managerial perspective, the findings suggest several practical priorities for SBI branch management in Muzaffarpur district. First, continued investment in server capacit</w:t>
      </w:r>
      <w:r>
        <w:t>y, transaction reliability, and faster resolution of failed or delayed transactions is likely to yield the greatest improvement in customer satisfaction, given the strong loading of reliability and responsiveness in the regression model. Second, targeted d</w:t>
      </w:r>
      <w:r>
        <w:t>igital literacy and assisted-banking initiatives for</w:t>
      </w:r>
      <w:r>
        <w:rPr>
          <w:spacing w:val="40"/>
        </w:rPr>
        <w:t xml:space="preserve"> </w:t>
      </w:r>
      <w:r>
        <w:t>older customers could help narrow the satisfaction gap identified across age groups. Third, while assurance-related perceptions of security and staff competence are already comparatively strong, continue</w:t>
      </w:r>
      <w:r>
        <w:t>d</w:t>
      </w:r>
      <w:r>
        <w:rPr>
          <w:spacing w:val="28"/>
        </w:rPr>
        <w:t xml:space="preserve"> </w:t>
      </w:r>
      <w:r>
        <w:t>communication</w:t>
      </w:r>
      <w:r>
        <w:rPr>
          <w:spacing w:val="29"/>
        </w:rPr>
        <w:t xml:space="preserve"> </w:t>
      </w:r>
      <w:r>
        <w:t>about</w:t>
      </w:r>
      <w:r>
        <w:rPr>
          <w:spacing w:val="30"/>
        </w:rPr>
        <w:t xml:space="preserve"> </w:t>
      </w:r>
      <w:r>
        <w:t>data</w:t>
      </w:r>
      <w:r>
        <w:rPr>
          <w:spacing w:val="29"/>
        </w:rPr>
        <w:t xml:space="preserve"> </w:t>
      </w:r>
      <w:r>
        <w:t>security</w:t>
      </w:r>
      <w:r>
        <w:rPr>
          <w:spacing w:val="30"/>
        </w:rPr>
        <w:t xml:space="preserve"> </w:t>
      </w:r>
      <w:r>
        <w:t>measures</w:t>
      </w:r>
      <w:r>
        <w:rPr>
          <w:spacing w:val="32"/>
        </w:rPr>
        <w:t xml:space="preserve"> </w:t>
      </w:r>
      <w:r>
        <w:t>could</w:t>
      </w:r>
      <w:r>
        <w:rPr>
          <w:spacing w:val="30"/>
        </w:rPr>
        <w:t xml:space="preserve"> </w:t>
      </w:r>
      <w:r>
        <w:t>further</w:t>
      </w:r>
      <w:r>
        <w:rPr>
          <w:spacing w:val="29"/>
        </w:rPr>
        <w:t xml:space="preserve"> </w:t>
      </w:r>
      <w:r>
        <w:t>reinforce</w:t>
      </w:r>
      <w:r>
        <w:rPr>
          <w:spacing w:val="31"/>
        </w:rPr>
        <w:t xml:space="preserve"> </w:t>
      </w:r>
      <w:r>
        <w:t>customer</w:t>
      </w:r>
      <w:r>
        <w:rPr>
          <w:spacing w:val="29"/>
        </w:rPr>
        <w:t xml:space="preserve"> </w:t>
      </w:r>
      <w:r>
        <w:rPr>
          <w:spacing w:val="-2"/>
        </w:rPr>
        <w:t>trust.</w:t>
      </w:r>
    </w:p>
    <w:p w:rsidR="00E632C8" w:rsidRDefault="00E632C8">
      <w:pPr>
        <w:pStyle w:val="BodyText"/>
        <w:spacing w:line="276" w:lineRule="auto"/>
        <w:sectPr w:rsidR="00E632C8">
          <w:pgSz w:w="12240" w:h="15840"/>
          <w:pgMar w:top="2600" w:right="720" w:bottom="1280" w:left="1080" w:header="718" w:footer="1094" w:gutter="0"/>
          <w:cols w:space="720"/>
        </w:sectPr>
      </w:pPr>
    </w:p>
    <w:p w:rsidR="00E632C8" w:rsidRDefault="00D21170">
      <w:pPr>
        <w:pStyle w:val="BodyText"/>
        <w:spacing w:before="272" w:line="276" w:lineRule="auto"/>
        <w:ind w:right="717"/>
      </w:pPr>
      <w:r>
        <w:t xml:space="preserve">Finally, modest but consistent improvements in empathy—such as </w:t>
      </w:r>
      <w:proofErr w:type="spellStart"/>
      <w:r>
        <w:t>personalised</w:t>
      </w:r>
      <w:proofErr w:type="spellEnd"/>
      <w:r>
        <w:t xml:space="preserve"> query resolution and proactive communication—could help lift the currently weakest-performing dimension of</w:t>
      </w:r>
      <w:r>
        <w:rPr>
          <w:spacing w:val="40"/>
        </w:rPr>
        <w:t xml:space="preserve"> </w:t>
      </w:r>
      <w:r>
        <w:t>the service quality construct.</w:t>
      </w:r>
    </w:p>
    <w:p w:rsidR="00E632C8" w:rsidRDefault="00D21170">
      <w:pPr>
        <w:pStyle w:val="BodyText"/>
        <w:spacing w:before="1" w:line="276" w:lineRule="auto"/>
        <w:ind w:right="717"/>
      </w:pPr>
      <w:r>
        <w:t>The</w:t>
      </w:r>
      <w:r>
        <w:rPr>
          <w:spacing w:val="-2"/>
        </w:rPr>
        <w:t xml:space="preserve"> </w:t>
      </w:r>
      <w:r>
        <w:t>study</w:t>
      </w:r>
      <w:r>
        <w:rPr>
          <w:spacing w:val="-1"/>
        </w:rPr>
        <w:t xml:space="preserve"> </w:t>
      </w:r>
      <w:r>
        <w:t>is</w:t>
      </w:r>
      <w:r>
        <w:rPr>
          <w:spacing w:val="-1"/>
        </w:rPr>
        <w:t xml:space="preserve"> </w:t>
      </w:r>
      <w:r>
        <w:t>subject</w:t>
      </w:r>
      <w:r>
        <w:rPr>
          <w:spacing w:val="-1"/>
        </w:rPr>
        <w:t xml:space="preserve"> </w:t>
      </w:r>
      <w:r>
        <w:t>to</w:t>
      </w:r>
      <w:r>
        <w:rPr>
          <w:spacing w:val="-1"/>
        </w:rPr>
        <w:t xml:space="preserve"> </w:t>
      </w:r>
      <w:r>
        <w:t>certain</w:t>
      </w:r>
      <w:r>
        <w:rPr>
          <w:spacing w:val="-1"/>
        </w:rPr>
        <w:t xml:space="preserve"> </w:t>
      </w:r>
      <w:r>
        <w:t>limitation</w:t>
      </w:r>
      <w:r>
        <w:t>s.</w:t>
      </w:r>
      <w:r>
        <w:rPr>
          <w:spacing w:val="-4"/>
        </w:rPr>
        <w:t xml:space="preserve"> </w:t>
      </w:r>
      <w:r>
        <w:t>The</w:t>
      </w:r>
      <w:r>
        <w:rPr>
          <w:spacing w:val="-2"/>
        </w:rPr>
        <w:t xml:space="preserve"> </w:t>
      </w:r>
      <w:r>
        <w:t>sample</w:t>
      </w:r>
      <w:r>
        <w:rPr>
          <w:spacing w:val="-2"/>
        </w:rPr>
        <w:t xml:space="preserve"> </w:t>
      </w:r>
      <w:r>
        <w:t>of</w:t>
      </w:r>
      <w:r>
        <w:rPr>
          <w:spacing w:val="-2"/>
        </w:rPr>
        <w:t xml:space="preserve"> </w:t>
      </w:r>
      <w:r>
        <w:t>150</w:t>
      </w:r>
      <w:r>
        <w:rPr>
          <w:spacing w:val="-1"/>
        </w:rPr>
        <w:t xml:space="preserve"> </w:t>
      </w:r>
      <w:r>
        <w:t>respondents,</w:t>
      </w:r>
      <w:r>
        <w:rPr>
          <w:spacing w:val="-1"/>
        </w:rPr>
        <w:t xml:space="preserve"> </w:t>
      </w:r>
      <w:r>
        <w:t>while</w:t>
      </w:r>
      <w:r>
        <w:rPr>
          <w:spacing w:val="-2"/>
        </w:rPr>
        <w:t xml:space="preserve"> </w:t>
      </w:r>
      <w:r>
        <w:t>adequate</w:t>
      </w:r>
      <w:r>
        <w:rPr>
          <w:spacing w:val="-2"/>
        </w:rPr>
        <w:t xml:space="preserve"> </w:t>
      </w:r>
      <w:r>
        <w:t>for</w:t>
      </w:r>
      <w:r>
        <w:rPr>
          <w:spacing w:val="-3"/>
        </w:rPr>
        <w:t xml:space="preserve"> </w:t>
      </w:r>
      <w:r>
        <w:t xml:space="preserve">the multivariate techniques employed, is confined to a single district and a single bank, which limits the </w:t>
      </w:r>
      <w:proofErr w:type="spellStart"/>
      <w:r>
        <w:t>generalisability</w:t>
      </w:r>
      <w:proofErr w:type="spellEnd"/>
      <w:r>
        <w:t xml:space="preserve"> of the findings to other banks or regions. The use of convenience sampling with</w:t>
      </w:r>
      <w:r>
        <w:t>in strata, rather than pure random sampling, may also introduce a degree of selection bias. Future research could extend this design to a comparative study of public and private sector banks across multiple districts of Bihar, incorporate qualitative inter</w:t>
      </w:r>
      <w:r>
        <w:t>views to explore the reasons underlying lower satisfaction among older customers, and examine the moderating role of digital literacy</w:t>
      </w:r>
      <w:r>
        <w:rPr>
          <w:spacing w:val="-2"/>
        </w:rPr>
        <w:t xml:space="preserve"> </w:t>
      </w:r>
      <w:r>
        <w:t>and</w:t>
      </w:r>
      <w:r>
        <w:rPr>
          <w:spacing w:val="-2"/>
        </w:rPr>
        <w:t xml:space="preserve"> </w:t>
      </w:r>
      <w:r>
        <w:t>income</w:t>
      </w:r>
      <w:r>
        <w:rPr>
          <w:spacing w:val="-3"/>
        </w:rPr>
        <w:t xml:space="preserve"> </w:t>
      </w:r>
      <w:r>
        <w:t>on</w:t>
      </w:r>
      <w:r>
        <w:rPr>
          <w:spacing w:val="-2"/>
        </w:rPr>
        <w:t xml:space="preserve"> </w:t>
      </w:r>
      <w:r>
        <w:t>the</w:t>
      </w:r>
      <w:r>
        <w:rPr>
          <w:spacing w:val="-3"/>
        </w:rPr>
        <w:t xml:space="preserve"> </w:t>
      </w:r>
      <w:r>
        <w:t>service-quality–satisfaction</w:t>
      </w:r>
      <w:r>
        <w:rPr>
          <w:spacing w:val="-2"/>
        </w:rPr>
        <w:t xml:space="preserve"> </w:t>
      </w:r>
      <w:r>
        <w:t>relationship.</w:t>
      </w:r>
      <w:r>
        <w:rPr>
          <w:spacing w:val="-2"/>
        </w:rPr>
        <w:t xml:space="preserve"> </w:t>
      </w:r>
      <w:r>
        <w:t>Despite</w:t>
      </w:r>
      <w:r>
        <w:rPr>
          <w:spacing w:val="-3"/>
        </w:rPr>
        <w:t xml:space="preserve"> </w:t>
      </w:r>
      <w:r>
        <w:t>these</w:t>
      </w:r>
      <w:r>
        <w:rPr>
          <w:spacing w:val="-3"/>
        </w:rPr>
        <w:t xml:space="preserve"> </w:t>
      </w:r>
      <w:r>
        <w:t>limitations,</w:t>
      </w:r>
      <w:r>
        <w:rPr>
          <w:spacing w:val="-5"/>
        </w:rPr>
        <w:t xml:space="preserve"> </w:t>
      </w:r>
      <w:r>
        <w:t>the study contributes district-spe</w:t>
      </w:r>
      <w:r>
        <w:t>cific, branch-level empirical evidence that complements the predominantly metro-centric literature on e-banking service quality in India, and offers actionable, statistically grounded guidance for improving customer satisfaction at SBI branches in Muzaffar</w:t>
      </w:r>
      <w:r>
        <w:t>pur district.</w:t>
      </w:r>
    </w:p>
    <w:p w:rsidR="00E632C8" w:rsidRDefault="00D21170">
      <w:pPr>
        <w:pStyle w:val="Heading1"/>
        <w:ind w:left="360" w:firstLine="0"/>
        <w:jc w:val="left"/>
      </w:pPr>
      <w:r>
        <w:rPr>
          <w:spacing w:val="-2"/>
        </w:rPr>
        <w:t>References</w:t>
      </w:r>
    </w:p>
    <w:p w:rsidR="00E632C8" w:rsidRDefault="00D21170">
      <w:pPr>
        <w:pStyle w:val="ListParagraph"/>
        <w:numPr>
          <w:ilvl w:val="0"/>
          <w:numId w:val="1"/>
        </w:numPr>
        <w:tabs>
          <w:tab w:val="left" w:pos="1080"/>
        </w:tabs>
        <w:spacing w:before="43" w:line="276" w:lineRule="auto"/>
        <w:ind w:right="714"/>
        <w:jc w:val="both"/>
      </w:pPr>
      <w:proofErr w:type="spellStart"/>
      <w:r>
        <w:t>Balbin</w:t>
      </w:r>
      <w:proofErr w:type="spellEnd"/>
      <w:r>
        <w:t>-Romero, G., Carrera-</w:t>
      </w:r>
      <w:proofErr w:type="spellStart"/>
      <w:r>
        <w:t>Mija</w:t>
      </w:r>
      <w:proofErr w:type="spellEnd"/>
      <w:r>
        <w:t>, E., Serrato-</w:t>
      </w:r>
      <w:proofErr w:type="spellStart"/>
      <w:r>
        <w:t>Cherres</w:t>
      </w:r>
      <w:proofErr w:type="spellEnd"/>
      <w:r>
        <w:t>, A., &amp; Cordova-</w:t>
      </w:r>
      <w:proofErr w:type="spellStart"/>
      <w:r>
        <w:t>Buiza</w:t>
      </w:r>
      <w:proofErr w:type="spellEnd"/>
      <w:r>
        <w:t>, F. (2022). Relationship between e-banking service quality based on the e-SERVQUAL model and customer satisfaction: A study in a Peruvian bank. Banks and Ban</w:t>
      </w:r>
      <w:r>
        <w:t>k Systems, 17(4), 180–</w:t>
      </w:r>
    </w:p>
    <w:p w:rsidR="00E632C8" w:rsidRDefault="00D21170">
      <w:pPr>
        <w:pStyle w:val="ListParagraph"/>
        <w:numPr>
          <w:ilvl w:val="0"/>
          <w:numId w:val="1"/>
        </w:numPr>
        <w:tabs>
          <w:tab w:val="left" w:pos="1080"/>
        </w:tabs>
        <w:spacing w:before="1" w:line="276" w:lineRule="auto"/>
        <w:ind w:right="719"/>
        <w:jc w:val="both"/>
      </w:pPr>
      <w:r>
        <w:t xml:space="preserve">Correa, T., </w:t>
      </w:r>
      <w:proofErr w:type="spellStart"/>
      <w:r>
        <w:t>Pavez</w:t>
      </w:r>
      <w:proofErr w:type="spellEnd"/>
      <w:r>
        <w:t>, I., &amp; Contreras, J. (2020). Digital inclusion through mobile phones? A comparison between mobile-only and computer users in internet access, skills and use. Information, Communication &amp; Society, 23(7), 1074–1091.</w:t>
      </w:r>
    </w:p>
    <w:p w:rsidR="00E632C8" w:rsidRDefault="00D21170">
      <w:pPr>
        <w:pStyle w:val="ListParagraph"/>
        <w:numPr>
          <w:ilvl w:val="0"/>
          <w:numId w:val="1"/>
        </w:numPr>
        <w:tabs>
          <w:tab w:val="left" w:pos="1080"/>
        </w:tabs>
        <w:spacing w:before="1" w:line="276" w:lineRule="auto"/>
        <w:ind w:right="722"/>
        <w:jc w:val="both"/>
      </w:pPr>
      <w:r>
        <w:t>D</w:t>
      </w:r>
      <w:r>
        <w:t>eepthi, B., Gupta, P., Rai, P., &amp; Arora, H. (2022). Assessing the dynamics of AI driven technologies in Indian banking and financial sector. Vision.</w:t>
      </w:r>
    </w:p>
    <w:p w:rsidR="00E632C8" w:rsidRDefault="00D21170">
      <w:pPr>
        <w:pStyle w:val="ListParagraph"/>
        <w:numPr>
          <w:ilvl w:val="0"/>
          <w:numId w:val="1"/>
        </w:numPr>
        <w:tabs>
          <w:tab w:val="left" w:pos="1080"/>
        </w:tabs>
        <w:spacing w:line="276" w:lineRule="auto"/>
        <w:ind w:right="718"/>
        <w:jc w:val="both"/>
      </w:pPr>
      <w:r>
        <w:t xml:space="preserve">Edo, O. C., </w:t>
      </w:r>
      <w:proofErr w:type="spellStart"/>
      <w:r>
        <w:t>Etu</w:t>
      </w:r>
      <w:proofErr w:type="spellEnd"/>
      <w:r>
        <w:t xml:space="preserve">, E. E., </w:t>
      </w:r>
      <w:proofErr w:type="spellStart"/>
      <w:r>
        <w:t>Tenebe</w:t>
      </w:r>
      <w:proofErr w:type="spellEnd"/>
      <w:r>
        <w:t xml:space="preserve">, I., Oladele, O. S., Edo, S., </w:t>
      </w:r>
      <w:proofErr w:type="spellStart"/>
      <w:r>
        <w:t>Diekola</w:t>
      </w:r>
      <w:proofErr w:type="spellEnd"/>
      <w:r>
        <w:t xml:space="preserve">, O. A., &amp; </w:t>
      </w:r>
      <w:proofErr w:type="spellStart"/>
      <w:r>
        <w:t>Emakhu</w:t>
      </w:r>
      <w:proofErr w:type="spellEnd"/>
      <w:r>
        <w:t>, J. (2023). Fintech a</w:t>
      </w:r>
      <w:r>
        <w:t>doption dynamics in a pandemic: An experience from some financial institutions in Nigeria during COVID-19 using machine learning approach. Cogent Business &amp; Management, 10(2), Article 2242985.</w:t>
      </w:r>
    </w:p>
    <w:p w:rsidR="00E632C8" w:rsidRDefault="00D21170">
      <w:pPr>
        <w:pStyle w:val="ListParagraph"/>
        <w:numPr>
          <w:ilvl w:val="0"/>
          <w:numId w:val="1"/>
        </w:numPr>
        <w:tabs>
          <w:tab w:val="left" w:pos="1080"/>
        </w:tabs>
        <w:spacing w:line="276" w:lineRule="auto"/>
        <w:ind w:right="1040"/>
        <w:jc w:val="both"/>
      </w:pPr>
      <w:proofErr w:type="spellStart"/>
      <w:r>
        <w:t>Galdolage</w:t>
      </w:r>
      <w:proofErr w:type="spellEnd"/>
      <w:r>
        <w:t>,</w:t>
      </w:r>
      <w:r>
        <w:rPr>
          <w:spacing w:val="-2"/>
        </w:rPr>
        <w:t xml:space="preserve"> </w:t>
      </w:r>
      <w:r>
        <w:t>B.</w:t>
      </w:r>
      <w:r>
        <w:rPr>
          <w:spacing w:val="-2"/>
        </w:rPr>
        <w:t xml:space="preserve"> </w:t>
      </w:r>
      <w:r>
        <w:t>S.,</w:t>
      </w:r>
      <w:r>
        <w:rPr>
          <w:spacing w:val="-2"/>
        </w:rPr>
        <w:t xml:space="preserve"> </w:t>
      </w:r>
      <w:r>
        <w:t>&amp;</w:t>
      </w:r>
      <w:r>
        <w:rPr>
          <w:spacing w:val="-1"/>
        </w:rPr>
        <w:t xml:space="preserve"> </w:t>
      </w:r>
      <w:proofErr w:type="spellStart"/>
      <w:r>
        <w:t>Rasanjalee</w:t>
      </w:r>
      <w:proofErr w:type="spellEnd"/>
      <w:r>
        <w:t>,</w:t>
      </w:r>
      <w:r>
        <w:rPr>
          <w:spacing w:val="-2"/>
        </w:rPr>
        <w:t xml:space="preserve"> </w:t>
      </w:r>
      <w:r>
        <w:t>R.</w:t>
      </w:r>
      <w:r>
        <w:rPr>
          <w:spacing w:val="-2"/>
        </w:rPr>
        <w:t xml:space="preserve"> </w:t>
      </w:r>
      <w:r>
        <w:t>M.</w:t>
      </w:r>
      <w:r>
        <w:rPr>
          <w:spacing w:val="-2"/>
        </w:rPr>
        <w:t xml:space="preserve"> </w:t>
      </w:r>
      <w:r>
        <w:t>K.</w:t>
      </w:r>
      <w:r>
        <w:rPr>
          <w:spacing w:val="-2"/>
        </w:rPr>
        <w:t xml:space="preserve"> </w:t>
      </w:r>
      <w:r>
        <w:t>S.</w:t>
      </w:r>
      <w:r>
        <w:rPr>
          <w:spacing w:val="-5"/>
        </w:rPr>
        <w:t xml:space="preserve"> </w:t>
      </w:r>
      <w:r>
        <w:t>(2022).</w:t>
      </w:r>
      <w:r>
        <w:rPr>
          <w:spacing w:val="-5"/>
        </w:rPr>
        <w:t xml:space="preserve"> </w:t>
      </w:r>
      <w:r>
        <w:t>Why</w:t>
      </w:r>
      <w:r>
        <w:rPr>
          <w:spacing w:val="-2"/>
        </w:rPr>
        <w:t xml:space="preserve"> </w:t>
      </w:r>
      <w:r>
        <w:t>do</w:t>
      </w:r>
      <w:r>
        <w:rPr>
          <w:spacing w:val="-2"/>
        </w:rPr>
        <w:t xml:space="preserve"> </w:t>
      </w:r>
      <w:r>
        <w:t>people</w:t>
      </w:r>
      <w:r>
        <w:rPr>
          <w:spacing w:val="-4"/>
        </w:rPr>
        <w:t xml:space="preserve"> </w:t>
      </w:r>
      <w:r>
        <w:t>move</w:t>
      </w:r>
      <w:r>
        <w:rPr>
          <w:spacing w:val="-2"/>
        </w:rPr>
        <w:t xml:space="preserve"> </w:t>
      </w:r>
      <w:r>
        <w:t>towards</w:t>
      </w:r>
      <w:r>
        <w:rPr>
          <w:spacing w:val="-4"/>
        </w:rPr>
        <w:t xml:space="preserve"> </w:t>
      </w:r>
      <w:r>
        <w:t>self-service technologies?</w:t>
      </w:r>
      <w:r>
        <w:rPr>
          <w:spacing w:val="-1"/>
        </w:rPr>
        <w:t xml:space="preserve"> </w:t>
      </w:r>
      <w:r>
        <w:t>Insights</w:t>
      </w:r>
      <w:r>
        <w:rPr>
          <w:spacing w:val="-1"/>
        </w:rPr>
        <w:t xml:space="preserve"> </w:t>
      </w:r>
      <w:r>
        <w:t>from</w:t>
      </w:r>
      <w:r>
        <w:rPr>
          <w:spacing w:val="-3"/>
        </w:rPr>
        <w:t xml:space="preserve"> </w:t>
      </w:r>
      <w:r>
        <w:t>banking</w:t>
      </w:r>
      <w:r>
        <w:rPr>
          <w:spacing w:val="-1"/>
        </w:rPr>
        <w:t xml:space="preserve"> </w:t>
      </w:r>
      <w:r>
        <w:t>sector</w:t>
      </w:r>
      <w:r>
        <w:rPr>
          <w:spacing w:val="-3"/>
        </w:rPr>
        <w:t xml:space="preserve"> </w:t>
      </w:r>
      <w:r>
        <w:t>in</w:t>
      </w:r>
      <w:r>
        <w:rPr>
          <w:spacing w:val="-1"/>
        </w:rPr>
        <w:t xml:space="preserve"> </w:t>
      </w:r>
      <w:r>
        <w:t>Sri Lanka.</w:t>
      </w:r>
      <w:r>
        <w:rPr>
          <w:spacing w:val="-1"/>
        </w:rPr>
        <w:t xml:space="preserve"> </w:t>
      </w:r>
      <w:r>
        <w:t>Journal of</w:t>
      </w:r>
      <w:r>
        <w:rPr>
          <w:spacing w:val="-1"/>
        </w:rPr>
        <w:t xml:space="preserve"> </w:t>
      </w:r>
      <w:r>
        <w:t>Business</w:t>
      </w:r>
      <w:r>
        <w:rPr>
          <w:spacing w:val="-3"/>
        </w:rPr>
        <w:t xml:space="preserve"> </w:t>
      </w:r>
      <w:r>
        <w:t>and</w:t>
      </w:r>
      <w:r>
        <w:rPr>
          <w:spacing w:val="-3"/>
        </w:rPr>
        <w:t xml:space="preserve"> </w:t>
      </w:r>
      <w:r>
        <w:t>Technology, 6(1), 19–41.</w:t>
      </w:r>
    </w:p>
    <w:p w:rsidR="00E632C8" w:rsidRDefault="00D21170">
      <w:pPr>
        <w:pStyle w:val="ListParagraph"/>
        <w:numPr>
          <w:ilvl w:val="0"/>
          <w:numId w:val="1"/>
        </w:numPr>
        <w:tabs>
          <w:tab w:val="left" w:pos="1080"/>
        </w:tabs>
        <w:spacing w:before="1" w:line="276" w:lineRule="auto"/>
        <w:ind w:right="1225"/>
      </w:pPr>
      <w:proofErr w:type="spellStart"/>
      <w:r>
        <w:t>Hemalatha</w:t>
      </w:r>
      <w:proofErr w:type="spellEnd"/>
      <w:r>
        <w:t xml:space="preserve">, S., &amp; </w:t>
      </w:r>
      <w:proofErr w:type="spellStart"/>
      <w:r>
        <w:t>Devaraja</w:t>
      </w:r>
      <w:proofErr w:type="spellEnd"/>
      <w:r>
        <w:t>, T. S. (2023). Study on customer satisfaction on digital banking services</w:t>
      </w:r>
      <w:r>
        <w:rPr>
          <w:spacing w:val="-3"/>
        </w:rPr>
        <w:t xml:space="preserve"> </w:t>
      </w:r>
      <w:r>
        <w:t>by</w:t>
      </w:r>
      <w:r>
        <w:rPr>
          <w:spacing w:val="-3"/>
        </w:rPr>
        <w:t xml:space="preserve"> </w:t>
      </w:r>
      <w:r>
        <w:t>public</w:t>
      </w:r>
      <w:r>
        <w:rPr>
          <w:spacing w:val="-3"/>
        </w:rPr>
        <w:t xml:space="preserve"> </w:t>
      </w:r>
      <w:r>
        <w:t>and</w:t>
      </w:r>
      <w:r>
        <w:rPr>
          <w:spacing w:val="-3"/>
        </w:rPr>
        <w:t xml:space="preserve"> </w:t>
      </w:r>
      <w:r>
        <w:t>private</w:t>
      </w:r>
      <w:r>
        <w:rPr>
          <w:spacing w:val="-5"/>
        </w:rPr>
        <w:t xml:space="preserve"> </w:t>
      </w:r>
      <w:r>
        <w:t>sector</w:t>
      </w:r>
      <w:r>
        <w:rPr>
          <w:spacing w:val="-5"/>
        </w:rPr>
        <w:t xml:space="preserve"> </w:t>
      </w:r>
      <w:r>
        <w:t>banks.</w:t>
      </w:r>
      <w:r>
        <w:rPr>
          <w:spacing w:val="-3"/>
        </w:rPr>
        <w:t xml:space="preserve"> </w:t>
      </w:r>
      <w:r>
        <w:t>International</w:t>
      </w:r>
      <w:r>
        <w:rPr>
          <w:spacing w:val="-2"/>
        </w:rPr>
        <w:t xml:space="preserve"> </w:t>
      </w:r>
      <w:r>
        <w:t>Research</w:t>
      </w:r>
      <w:r>
        <w:rPr>
          <w:spacing w:val="-5"/>
        </w:rPr>
        <w:t xml:space="preserve"> </w:t>
      </w:r>
      <w:r>
        <w:t>Journal</w:t>
      </w:r>
      <w:r>
        <w:rPr>
          <w:spacing w:val="-5"/>
        </w:rPr>
        <w:t xml:space="preserve"> </w:t>
      </w:r>
      <w:r>
        <w:t>of</w:t>
      </w:r>
      <w:r>
        <w:rPr>
          <w:spacing w:val="-3"/>
        </w:rPr>
        <w:t xml:space="preserve"> </w:t>
      </w:r>
      <w:r>
        <w:t>Education</w:t>
      </w:r>
      <w:r>
        <w:rPr>
          <w:spacing w:val="-6"/>
        </w:rPr>
        <w:t xml:space="preserve"> </w:t>
      </w:r>
      <w:r>
        <w:t>and Management Studies, 2(3), 245–250.</w:t>
      </w:r>
    </w:p>
    <w:p w:rsidR="00E632C8" w:rsidRDefault="00D21170">
      <w:pPr>
        <w:pStyle w:val="ListParagraph"/>
        <w:numPr>
          <w:ilvl w:val="0"/>
          <w:numId w:val="1"/>
        </w:numPr>
        <w:tabs>
          <w:tab w:val="left" w:pos="1080"/>
        </w:tabs>
        <w:spacing w:line="276" w:lineRule="auto"/>
        <w:ind w:right="1309"/>
      </w:pPr>
      <w:r>
        <w:t>Kant,</w:t>
      </w:r>
      <w:r>
        <w:rPr>
          <w:spacing w:val="-3"/>
        </w:rPr>
        <w:t xml:space="preserve"> </w:t>
      </w:r>
      <w:r>
        <w:t>R.,</w:t>
      </w:r>
      <w:r>
        <w:rPr>
          <w:spacing w:val="-3"/>
        </w:rPr>
        <w:t xml:space="preserve"> </w:t>
      </w:r>
      <w:r>
        <w:t>Jaiswal,</w:t>
      </w:r>
      <w:r>
        <w:rPr>
          <w:spacing w:val="-3"/>
        </w:rPr>
        <w:t xml:space="preserve"> </w:t>
      </w:r>
      <w:r>
        <w:t>D.,</w:t>
      </w:r>
      <w:r>
        <w:rPr>
          <w:spacing w:val="-6"/>
        </w:rPr>
        <w:t xml:space="preserve"> </w:t>
      </w:r>
      <w:r>
        <w:t>&amp;</w:t>
      </w:r>
      <w:r>
        <w:rPr>
          <w:spacing w:val="-5"/>
        </w:rPr>
        <w:t xml:space="preserve"> </w:t>
      </w:r>
      <w:r>
        <w:t>Mishra,</w:t>
      </w:r>
      <w:r>
        <w:rPr>
          <w:spacing w:val="-3"/>
        </w:rPr>
        <w:t xml:space="preserve"> </w:t>
      </w:r>
      <w:r>
        <w:t>S.</w:t>
      </w:r>
      <w:r>
        <w:rPr>
          <w:spacing w:val="-3"/>
        </w:rPr>
        <w:t xml:space="preserve"> </w:t>
      </w:r>
      <w:r>
        <w:t>(2017).</w:t>
      </w:r>
      <w:r>
        <w:rPr>
          <w:spacing w:val="-3"/>
        </w:rPr>
        <w:t xml:space="preserve"> </w:t>
      </w:r>
      <w:r>
        <w:t>The</w:t>
      </w:r>
      <w:r>
        <w:rPr>
          <w:spacing w:val="-3"/>
        </w:rPr>
        <w:t xml:space="preserve"> </w:t>
      </w:r>
      <w:r>
        <w:t>investigation</w:t>
      </w:r>
      <w:r>
        <w:rPr>
          <w:spacing w:val="-3"/>
        </w:rPr>
        <w:t xml:space="preserve"> </w:t>
      </w:r>
      <w:r>
        <w:t>of</w:t>
      </w:r>
      <w:r>
        <w:rPr>
          <w:spacing w:val="-3"/>
        </w:rPr>
        <w:t xml:space="preserve"> </w:t>
      </w:r>
      <w:r>
        <w:t>service</w:t>
      </w:r>
      <w:r>
        <w:rPr>
          <w:spacing w:val="-3"/>
        </w:rPr>
        <w:t xml:space="preserve"> </w:t>
      </w:r>
      <w:r>
        <w:t>quality</w:t>
      </w:r>
      <w:r>
        <w:rPr>
          <w:spacing w:val="-3"/>
        </w:rPr>
        <w:t xml:space="preserve"> </w:t>
      </w:r>
      <w:r>
        <w:t>dimensions, customer satisfaction and corporate image in Indian public sector banks: An application of structural equation model (SEM). Vision, 21(1), 76–85.</w:t>
      </w:r>
    </w:p>
    <w:p w:rsidR="00E632C8" w:rsidRDefault="00E632C8">
      <w:pPr>
        <w:pStyle w:val="ListParagraph"/>
        <w:spacing w:line="276" w:lineRule="auto"/>
        <w:jc w:val="left"/>
        <w:sectPr w:rsidR="00E632C8">
          <w:pgSz w:w="12240" w:h="15840"/>
          <w:pgMar w:top="2600" w:right="720" w:bottom="1280" w:left="1080" w:header="718" w:footer="1094" w:gutter="0"/>
          <w:cols w:space="720"/>
        </w:sectPr>
      </w:pPr>
    </w:p>
    <w:p w:rsidR="00E632C8" w:rsidRDefault="00E632C8">
      <w:pPr>
        <w:pStyle w:val="BodyText"/>
        <w:spacing w:before="21"/>
        <w:ind w:left="0" w:right="0"/>
        <w:jc w:val="left"/>
        <w:rPr>
          <w:sz w:val="22"/>
        </w:rPr>
      </w:pPr>
    </w:p>
    <w:p w:rsidR="00E632C8" w:rsidRDefault="00D21170">
      <w:pPr>
        <w:pStyle w:val="ListParagraph"/>
        <w:numPr>
          <w:ilvl w:val="0"/>
          <w:numId w:val="1"/>
        </w:numPr>
        <w:tabs>
          <w:tab w:val="left" w:pos="1080"/>
        </w:tabs>
        <w:spacing w:line="276" w:lineRule="auto"/>
        <w:ind w:right="1164"/>
      </w:pPr>
      <w:r>
        <w:t xml:space="preserve">Kapoor, H. (2015). Customer satisfaction and e-banking services: A case study of </w:t>
      </w:r>
      <w:proofErr w:type="spellStart"/>
      <w:r>
        <w:t>Tr</w:t>
      </w:r>
      <w:r>
        <w:t>icity</w:t>
      </w:r>
      <w:proofErr w:type="spellEnd"/>
      <w:r>
        <w:t>. International</w:t>
      </w:r>
      <w:r>
        <w:rPr>
          <w:spacing w:val="-3"/>
        </w:rPr>
        <w:t xml:space="preserve"> </w:t>
      </w:r>
      <w:r>
        <w:t>Journal</w:t>
      </w:r>
      <w:r>
        <w:rPr>
          <w:spacing w:val="-3"/>
        </w:rPr>
        <w:t xml:space="preserve"> </w:t>
      </w:r>
      <w:r>
        <w:t>of</w:t>
      </w:r>
      <w:r>
        <w:rPr>
          <w:spacing w:val="-4"/>
        </w:rPr>
        <w:t xml:space="preserve"> </w:t>
      </w:r>
      <w:r>
        <w:t>Innovative</w:t>
      </w:r>
      <w:r>
        <w:rPr>
          <w:spacing w:val="-4"/>
        </w:rPr>
        <w:t xml:space="preserve"> </w:t>
      </w:r>
      <w:r>
        <w:t>Research</w:t>
      </w:r>
      <w:r>
        <w:rPr>
          <w:spacing w:val="-6"/>
        </w:rPr>
        <w:t xml:space="preserve"> </w:t>
      </w:r>
      <w:r>
        <w:t>in</w:t>
      </w:r>
      <w:r>
        <w:rPr>
          <w:spacing w:val="-4"/>
        </w:rPr>
        <w:t xml:space="preserve"> </w:t>
      </w:r>
      <w:r>
        <w:t>Science,</w:t>
      </w:r>
      <w:r>
        <w:rPr>
          <w:spacing w:val="-4"/>
        </w:rPr>
        <w:t xml:space="preserve"> </w:t>
      </w:r>
      <w:r>
        <w:t>Engineering</w:t>
      </w:r>
      <w:r>
        <w:rPr>
          <w:spacing w:val="-7"/>
        </w:rPr>
        <w:t xml:space="preserve"> </w:t>
      </w:r>
      <w:r>
        <w:t>and</w:t>
      </w:r>
      <w:r>
        <w:rPr>
          <w:spacing w:val="-4"/>
        </w:rPr>
        <w:t xml:space="preserve"> </w:t>
      </w:r>
      <w:r>
        <w:t>Technology,</w:t>
      </w:r>
      <w:r>
        <w:rPr>
          <w:spacing w:val="-4"/>
        </w:rPr>
        <w:t xml:space="preserve"> </w:t>
      </w:r>
      <w:r>
        <w:t xml:space="preserve">4(10), </w:t>
      </w:r>
      <w:r>
        <w:rPr>
          <w:spacing w:val="-2"/>
        </w:rPr>
        <w:t>10270–10277.</w:t>
      </w:r>
    </w:p>
    <w:p w:rsidR="00E632C8" w:rsidRDefault="00D21170">
      <w:pPr>
        <w:pStyle w:val="ListParagraph"/>
        <w:numPr>
          <w:ilvl w:val="0"/>
          <w:numId w:val="1"/>
        </w:numPr>
        <w:tabs>
          <w:tab w:val="left" w:pos="1080"/>
        </w:tabs>
        <w:spacing w:before="1" w:line="276" w:lineRule="auto"/>
        <w:ind w:right="792"/>
      </w:pPr>
      <w:r>
        <w:t>Kaur, M., &amp; Sharma, N. (2015). Electronic service quality and customer satisfaction: A study of customer</w:t>
      </w:r>
      <w:r>
        <w:rPr>
          <w:spacing w:val="-4"/>
        </w:rPr>
        <w:t xml:space="preserve"> </w:t>
      </w:r>
      <w:r>
        <w:t>loyalty</w:t>
      </w:r>
      <w:r>
        <w:rPr>
          <w:spacing w:val="-5"/>
        </w:rPr>
        <w:t xml:space="preserve"> </w:t>
      </w:r>
      <w:r>
        <w:t>with</w:t>
      </w:r>
      <w:r>
        <w:rPr>
          <w:spacing w:val="-2"/>
        </w:rPr>
        <w:t xml:space="preserve"> </w:t>
      </w:r>
      <w:r>
        <w:t>special</w:t>
      </w:r>
      <w:r>
        <w:rPr>
          <w:spacing w:val="-1"/>
        </w:rPr>
        <w:t xml:space="preserve"> </w:t>
      </w:r>
      <w:r>
        <w:t>reference</w:t>
      </w:r>
      <w:r>
        <w:rPr>
          <w:spacing w:val="-4"/>
        </w:rPr>
        <w:t xml:space="preserve"> </w:t>
      </w:r>
      <w:r>
        <w:t>to</w:t>
      </w:r>
      <w:r>
        <w:rPr>
          <w:spacing w:val="-2"/>
        </w:rPr>
        <w:t xml:space="preserve"> </w:t>
      </w:r>
      <w:r>
        <w:t>touri</w:t>
      </w:r>
      <w:r>
        <w:t>sm</w:t>
      </w:r>
      <w:r>
        <w:rPr>
          <w:spacing w:val="-1"/>
        </w:rPr>
        <w:t xml:space="preserve"> </w:t>
      </w:r>
      <w:r>
        <w:t>industry.</w:t>
      </w:r>
      <w:r>
        <w:rPr>
          <w:spacing w:val="-2"/>
        </w:rPr>
        <w:t xml:space="preserve"> </w:t>
      </w:r>
      <w:r>
        <w:t>Amity</w:t>
      </w:r>
      <w:r>
        <w:rPr>
          <w:spacing w:val="-2"/>
        </w:rPr>
        <w:t xml:space="preserve"> </w:t>
      </w:r>
      <w:r>
        <w:t>Business</w:t>
      </w:r>
      <w:r>
        <w:rPr>
          <w:spacing w:val="-4"/>
        </w:rPr>
        <w:t xml:space="preserve"> </w:t>
      </w:r>
      <w:r>
        <w:t>Review,</w:t>
      </w:r>
      <w:r>
        <w:rPr>
          <w:spacing w:val="-2"/>
        </w:rPr>
        <w:t xml:space="preserve"> </w:t>
      </w:r>
      <w:r>
        <w:t>16(2),</w:t>
      </w:r>
      <w:r>
        <w:rPr>
          <w:spacing w:val="-5"/>
        </w:rPr>
        <w:t xml:space="preserve"> </w:t>
      </w:r>
      <w:r>
        <w:t>100–</w:t>
      </w:r>
      <w:r>
        <w:rPr>
          <w:spacing w:val="-4"/>
        </w:rPr>
        <w:t>114.</w:t>
      </w:r>
    </w:p>
    <w:p w:rsidR="00E632C8" w:rsidRDefault="00D21170">
      <w:pPr>
        <w:pStyle w:val="ListParagraph"/>
        <w:numPr>
          <w:ilvl w:val="0"/>
          <w:numId w:val="1"/>
        </w:numPr>
        <w:tabs>
          <w:tab w:val="left" w:pos="1080"/>
        </w:tabs>
        <w:spacing w:line="276" w:lineRule="auto"/>
        <w:ind w:right="1559"/>
      </w:pPr>
      <w:r>
        <w:t>Kaur,</w:t>
      </w:r>
      <w:r>
        <w:rPr>
          <w:spacing w:val="-3"/>
        </w:rPr>
        <w:t xml:space="preserve"> </w:t>
      </w:r>
      <w:r>
        <w:t>N.,</w:t>
      </w:r>
      <w:r>
        <w:rPr>
          <w:spacing w:val="-6"/>
        </w:rPr>
        <w:t xml:space="preserve"> </w:t>
      </w:r>
      <w:r>
        <w:t>&amp;</w:t>
      </w:r>
      <w:r>
        <w:rPr>
          <w:spacing w:val="-2"/>
        </w:rPr>
        <w:t xml:space="preserve"> </w:t>
      </w:r>
      <w:r>
        <w:t>Kiran,</w:t>
      </w:r>
      <w:r>
        <w:rPr>
          <w:spacing w:val="-3"/>
        </w:rPr>
        <w:t xml:space="preserve"> </w:t>
      </w:r>
      <w:r>
        <w:t>R.</w:t>
      </w:r>
      <w:r>
        <w:rPr>
          <w:spacing w:val="-6"/>
        </w:rPr>
        <w:t xml:space="preserve"> </w:t>
      </w:r>
      <w:r>
        <w:t>(2015).</w:t>
      </w:r>
      <w:r>
        <w:rPr>
          <w:spacing w:val="-3"/>
        </w:rPr>
        <w:t xml:space="preserve"> </w:t>
      </w:r>
      <w:r>
        <w:t>E-banking</w:t>
      </w:r>
      <w:r>
        <w:rPr>
          <w:spacing w:val="-3"/>
        </w:rPr>
        <w:t xml:space="preserve"> </w:t>
      </w:r>
      <w:r>
        <w:t>service</w:t>
      </w:r>
      <w:r>
        <w:rPr>
          <w:spacing w:val="-5"/>
        </w:rPr>
        <w:t xml:space="preserve"> </w:t>
      </w:r>
      <w:r>
        <w:t>quality</w:t>
      </w:r>
      <w:r>
        <w:rPr>
          <w:spacing w:val="-3"/>
        </w:rPr>
        <w:t xml:space="preserve"> </w:t>
      </w:r>
      <w:r>
        <w:t>and</w:t>
      </w:r>
      <w:r>
        <w:rPr>
          <w:spacing w:val="-3"/>
        </w:rPr>
        <w:t xml:space="preserve"> </w:t>
      </w:r>
      <w:r>
        <w:t>customer</w:t>
      </w:r>
      <w:r>
        <w:rPr>
          <w:spacing w:val="-5"/>
        </w:rPr>
        <w:t xml:space="preserve"> </w:t>
      </w:r>
      <w:r>
        <w:t>loyalty:</w:t>
      </w:r>
      <w:r>
        <w:rPr>
          <w:spacing w:val="-2"/>
        </w:rPr>
        <w:t xml:space="preserve"> </w:t>
      </w:r>
      <w:r>
        <w:t>Changing dynamics of public, private and foreign bank consumers in India. Global Business and Management Research, 7(1), 74–92.</w:t>
      </w:r>
    </w:p>
    <w:p w:rsidR="00E632C8" w:rsidRDefault="00D21170">
      <w:pPr>
        <w:pStyle w:val="ListParagraph"/>
        <w:numPr>
          <w:ilvl w:val="0"/>
          <w:numId w:val="1"/>
        </w:numPr>
        <w:tabs>
          <w:tab w:val="left" w:pos="1080"/>
        </w:tabs>
        <w:spacing w:line="276" w:lineRule="auto"/>
        <w:ind w:right="917"/>
      </w:pPr>
      <w:proofErr w:type="spellStart"/>
      <w:r>
        <w:t>Machogu</w:t>
      </w:r>
      <w:proofErr w:type="spellEnd"/>
      <w:r>
        <w:t xml:space="preserve">, A. M., &amp; </w:t>
      </w:r>
      <w:proofErr w:type="spellStart"/>
      <w:r>
        <w:t>Okiko</w:t>
      </w:r>
      <w:proofErr w:type="spellEnd"/>
      <w:r>
        <w:t>, L. (2015). E-banking complexities and the perpetual effect on customer</w:t>
      </w:r>
      <w:r>
        <w:rPr>
          <w:spacing w:val="-3"/>
        </w:rPr>
        <w:t xml:space="preserve"> </w:t>
      </w:r>
      <w:r>
        <w:t>satisfaction</w:t>
      </w:r>
      <w:r>
        <w:rPr>
          <w:spacing w:val="-3"/>
        </w:rPr>
        <w:t xml:space="preserve"> </w:t>
      </w:r>
      <w:r>
        <w:t>in</w:t>
      </w:r>
      <w:r>
        <w:rPr>
          <w:spacing w:val="-3"/>
        </w:rPr>
        <w:t xml:space="preserve"> </w:t>
      </w:r>
      <w:r>
        <w:t>Rwandan</w:t>
      </w:r>
      <w:r>
        <w:rPr>
          <w:spacing w:val="-6"/>
        </w:rPr>
        <w:t xml:space="preserve"> </w:t>
      </w:r>
      <w:r>
        <w:t>commerci</w:t>
      </w:r>
      <w:r>
        <w:t>al</w:t>
      </w:r>
      <w:r>
        <w:rPr>
          <w:spacing w:val="-2"/>
        </w:rPr>
        <w:t xml:space="preserve"> </w:t>
      </w:r>
      <w:r>
        <w:t>banking</w:t>
      </w:r>
      <w:r>
        <w:rPr>
          <w:spacing w:val="-6"/>
        </w:rPr>
        <w:t xml:space="preserve"> </w:t>
      </w:r>
      <w:r>
        <w:t>industry:</w:t>
      </w:r>
      <w:r>
        <w:rPr>
          <w:spacing w:val="-2"/>
        </w:rPr>
        <w:t xml:space="preserve"> </w:t>
      </w:r>
      <w:r>
        <w:t>Gender</w:t>
      </w:r>
      <w:r>
        <w:rPr>
          <w:spacing w:val="-5"/>
        </w:rPr>
        <w:t xml:space="preserve"> </w:t>
      </w:r>
      <w:r>
        <w:t>as</w:t>
      </w:r>
      <w:r>
        <w:rPr>
          <w:spacing w:val="-3"/>
        </w:rPr>
        <w:t xml:space="preserve"> </w:t>
      </w:r>
      <w:r>
        <w:t>a</w:t>
      </w:r>
      <w:r>
        <w:rPr>
          <w:spacing w:val="-5"/>
        </w:rPr>
        <w:t xml:space="preserve"> </w:t>
      </w:r>
      <w:r>
        <w:t>moderating</w:t>
      </w:r>
      <w:r>
        <w:rPr>
          <w:spacing w:val="-6"/>
        </w:rPr>
        <w:t xml:space="preserve"> </w:t>
      </w:r>
      <w:r>
        <w:t>factor. Journal of Internet Banking and Commerce, 20(3), 1–3.</w:t>
      </w:r>
    </w:p>
    <w:p w:rsidR="00E632C8" w:rsidRDefault="00D21170">
      <w:pPr>
        <w:pStyle w:val="ListParagraph"/>
        <w:numPr>
          <w:ilvl w:val="0"/>
          <w:numId w:val="1"/>
        </w:numPr>
        <w:tabs>
          <w:tab w:val="left" w:pos="1080"/>
        </w:tabs>
        <w:spacing w:line="276" w:lineRule="auto"/>
        <w:ind w:right="901"/>
      </w:pPr>
      <w:r>
        <w:t>Nguyen,</w:t>
      </w:r>
      <w:r>
        <w:rPr>
          <w:spacing w:val="-3"/>
        </w:rPr>
        <w:t xml:space="preserve"> </w:t>
      </w:r>
      <w:r>
        <w:t>P.</w:t>
      </w:r>
      <w:r>
        <w:rPr>
          <w:spacing w:val="-6"/>
        </w:rPr>
        <w:t xml:space="preserve"> </w:t>
      </w:r>
      <w:r>
        <w:t>M.,</w:t>
      </w:r>
      <w:r>
        <w:rPr>
          <w:spacing w:val="-5"/>
        </w:rPr>
        <w:t xml:space="preserve"> </w:t>
      </w:r>
      <w:r>
        <w:t>&amp;</w:t>
      </w:r>
      <w:r>
        <w:rPr>
          <w:spacing w:val="-2"/>
        </w:rPr>
        <w:t xml:space="preserve"> </w:t>
      </w:r>
      <w:r>
        <w:t>Dang,</w:t>
      </w:r>
      <w:r>
        <w:rPr>
          <w:spacing w:val="-3"/>
        </w:rPr>
        <w:t xml:space="preserve"> </w:t>
      </w:r>
      <w:r>
        <w:t>T.</w:t>
      </w:r>
      <w:r>
        <w:rPr>
          <w:spacing w:val="-6"/>
        </w:rPr>
        <w:t xml:space="preserve"> </w:t>
      </w:r>
      <w:r>
        <w:t>H.</w:t>
      </w:r>
      <w:r>
        <w:rPr>
          <w:spacing w:val="-3"/>
        </w:rPr>
        <w:t xml:space="preserve"> </w:t>
      </w:r>
      <w:r>
        <w:t>(2024).</w:t>
      </w:r>
      <w:r>
        <w:rPr>
          <w:spacing w:val="-3"/>
        </w:rPr>
        <w:t xml:space="preserve"> </w:t>
      </w:r>
      <w:r>
        <w:t>Factors</w:t>
      </w:r>
      <w:r>
        <w:rPr>
          <w:spacing w:val="-3"/>
        </w:rPr>
        <w:t xml:space="preserve"> </w:t>
      </w:r>
      <w:r>
        <w:t>affecting</w:t>
      </w:r>
      <w:r>
        <w:rPr>
          <w:spacing w:val="-3"/>
        </w:rPr>
        <w:t xml:space="preserve"> </w:t>
      </w:r>
      <w:r>
        <w:t>digital</w:t>
      </w:r>
      <w:r>
        <w:rPr>
          <w:spacing w:val="-2"/>
        </w:rPr>
        <w:t xml:space="preserve"> </w:t>
      </w:r>
      <w:r>
        <w:t>banking</w:t>
      </w:r>
      <w:r>
        <w:rPr>
          <w:spacing w:val="-3"/>
        </w:rPr>
        <w:t xml:space="preserve"> </w:t>
      </w:r>
      <w:r>
        <w:t>services</w:t>
      </w:r>
      <w:r>
        <w:rPr>
          <w:spacing w:val="-3"/>
        </w:rPr>
        <w:t xml:space="preserve"> </w:t>
      </w:r>
      <w:r>
        <w:t>acceptance:</w:t>
      </w:r>
      <w:r>
        <w:rPr>
          <w:spacing w:val="-2"/>
        </w:rPr>
        <w:t xml:space="preserve"> </w:t>
      </w:r>
      <w:r>
        <w:t>An empirical study in Vietnam during the COVID-19 pandemic</w:t>
      </w:r>
      <w:r>
        <w:t>. Entrepreneurial Business and Economics Review, 12(1), 101–117.</w:t>
      </w:r>
    </w:p>
    <w:p w:rsidR="00E632C8" w:rsidRDefault="00D21170">
      <w:pPr>
        <w:pStyle w:val="ListParagraph"/>
        <w:numPr>
          <w:ilvl w:val="0"/>
          <w:numId w:val="1"/>
        </w:numPr>
        <w:tabs>
          <w:tab w:val="left" w:pos="1080"/>
        </w:tabs>
        <w:spacing w:before="1" w:line="276" w:lineRule="auto"/>
        <w:ind w:right="717"/>
        <w:jc w:val="both"/>
      </w:pPr>
      <w:proofErr w:type="spellStart"/>
      <w:r>
        <w:t>Nihayah</w:t>
      </w:r>
      <w:proofErr w:type="spellEnd"/>
      <w:r>
        <w:t xml:space="preserve">, M., Marwan, M. S., </w:t>
      </w:r>
      <w:proofErr w:type="spellStart"/>
      <w:r>
        <w:t>Nawras</w:t>
      </w:r>
      <w:proofErr w:type="spellEnd"/>
      <w:r>
        <w:t>, M. N., Ahmad, M. A. Z., &amp; Ahmad, Y. A. (2021). Customer satisfaction measurement of e-banking service quality in Riyadh, Saudi Arabia. Academy of Strategic</w:t>
      </w:r>
      <w:r>
        <w:t xml:space="preserve"> Management Journal, 20(2), 1–19.</w:t>
      </w:r>
    </w:p>
    <w:p w:rsidR="00E632C8" w:rsidRDefault="00D21170">
      <w:pPr>
        <w:pStyle w:val="ListParagraph"/>
        <w:numPr>
          <w:ilvl w:val="0"/>
          <w:numId w:val="1"/>
        </w:numPr>
        <w:tabs>
          <w:tab w:val="left" w:pos="1080"/>
        </w:tabs>
        <w:spacing w:line="276" w:lineRule="auto"/>
        <w:ind w:right="721"/>
        <w:jc w:val="both"/>
      </w:pPr>
      <w:proofErr w:type="spellStart"/>
      <w:r>
        <w:t>Rajaobelina</w:t>
      </w:r>
      <w:proofErr w:type="spellEnd"/>
      <w:r>
        <w:t xml:space="preserve">, L., Brun, I., Prom </w:t>
      </w:r>
      <w:proofErr w:type="spellStart"/>
      <w:r>
        <w:t>Tep</w:t>
      </w:r>
      <w:proofErr w:type="spellEnd"/>
      <w:r>
        <w:t>, S., &amp; Arcand, M. (2018). Towards a better understanding of mobile banking: The impact of customer experience on trust and commitment. Journal of Financial Services Marketing, 23(3–4), 141–152.</w:t>
      </w:r>
    </w:p>
    <w:p w:rsidR="00E632C8" w:rsidRDefault="00D21170">
      <w:pPr>
        <w:pStyle w:val="ListParagraph"/>
        <w:numPr>
          <w:ilvl w:val="0"/>
          <w:numId w:val="1"/>
        </w:numPr>
        <w:tabs>
          <w:tab w:val="left" w:pos="1080"/>
        </w:tabs>
        <w:spacing w:line="276" w:lineRule="auto"/>
        <w:ind w:right="712"/>
        <w:jc w:val="both"/>
      </w:pPr>
      <w:r>
        <w:t xml:space="preserve">Raza, S. A., </w:t>
      </w:r>
      <w:proofErr w:type="spellStart"/>
      <w:r>
        <w:t>Umer</w:t>
      </w:r>
      <w:proofErr w:type="spellEnd"/>
      <w:r>
        <w:t>, A., Qur</w:t>
      </w:r>
      <w:r>
        <w:t>eshi,</w:t>
      </w:r>
      <w:r>
        <w:rPr>
          <w:spacing w:val="-1"/>
        </w:rPr>
        <w:t xml:space="preserve"> </w:t>
      </w:r>
      <w:r>
        <w:t xml:space="preserve">M. A., &amp; </w:t>
      </w:r>
      <w:proofErr w:type="spellStart"/>
      <w:r>
        <w:t>Dahri</w:t>
      </w:r>
      <w:proofErr w:type="spellEnd"/>
      <w:r>
        <w:t xml:space="preserve">, A. S. (2020). Internet banking service quality, e-customer satisfaction and loyalty: The modified e-SERVQUAL model. The TQM Journal, 32(6), 1443–1466. </w:t>
      </w:r>
      <w:hyperlink r:id="rId9">
        <w:r>
          <w:t>https://doi.org/10.1108</w:t>
        </w:r>
        <w:r>
          <w:t>/TQM-02-2020-0019</w:t>
        </w:r>
      </w:hyperlink>
    </w:p>
    <w:p w:rsidR="00E632C8" w:rsidRDefault="00D21170">
      <w:pPr>
        <w:pStyle w:val="ListParagraph"/>
        <w:numPr>
          <w:ilvl w:val="0"/>
          <w:numId w:val="1"/>
        </w:numPr>
        <w:tabs>
          <w:tab w:val="left" w:pos="1080"/>
        </w:tabs>
        <w:spacing w:before="1" w:line="276" w:lineRule="auto"/>
        <w:ind w:right="711"/>
        <w:jc w:val="both"/>
      </w:pPr>
      <w:r>
        <w:t xml:space="preserve">Roy, S. K., Balaji, M. S., </w:t>
      </w:r>
      <w:proofErr w:type="spellStart"/>
      <w:r>
        <w:t>Kesharwani</w:t>
      </w:r>
      <w:proofErr w:type="spellEnd"/>
      <w:r>
        <w:t xml:space="preserve">, A., &amp; </w:t>
      </w:r>
      <w:proofErr w:type="spellStart"/>
      <w:r>
        <w:t>Sekhon</w:t>
      </w:r>
      <w:proofErr w:type="spellEnd"/>
      <w:r>
        <w:t>, H. (2017). Predicting internet banking adoption</w:t>
      </w:r>
      <w:r>
        <w:rPr>
          <w:spacing w:val="24"/>
        </w:rPr>
        <w:t xml:space="preserve"> </w:t>
      </w:r>
      <w:r>
        <w:t>in</w:t>
      </w:r>
      <w:r>
        <w:rPr>
          <w:spacing w:val="26"/>
        </w:rPr>
        <w:t xml:space="preserve"> </w:t>
      </w:r>
      <w:r>
        <w:t>India:</w:t>
      </w:r>
      <w:r>
        <w:rPr>
          <w:spacing w:val="27"/>
        </w:rPr>
        <w:t xml:space="preserve"> </w:t>
      </w:r>
      <w:r>
        <w:t>A</w:t>
      </w:r>
      <w:r>
        <w:rPr>
          <w:spacing w:val="25"/>
        </w:rPr>
        <w:t xml:space="preserve"> </w:t>
      </w:r>
      <w:r>
        <w:t>perceived</w:t>
      </w:r>
      <w:r>
        <w:rPr>
          <w:spacing w:val="24"/>
        </w:rPr>
        <w:t xml:space="preserve"> </w:t>
      </w:r>
      <w:r>
        <w:t>risk</w:t>
      </w:r>
      <w:r>
        <w:rPr>
          <w:spacing w:val="26"/>
        </w:rPr>
        <w:t xml:space="preserve"> </w:t>
      </w:r>
      <w:r>
        <w:t>perspective.</w:t>
      </w:r>
      <w:r>
        <w:rPr>
          <w:spacing w:val="27"/>
        </w:rPr>
        <w:t xml:space="preserve"> </w:t>
      </w:r>
      <w:r>
        <w:t>Journal</w:t>
      </w:r>
      <w:r>
        <w:rPr>
          <w:spacing w:val="27"/>
        </w:rPr>
        <w:t xml:space="preserve"> </w:t>
      </w:r>
      <w:r>
        <w:t>of</w:t>
      </w:r>
      <w:r>
        <w:rPr>
          <w:spacing w:val="27"/>
        </w:rPr>
        <w:t xml:space="preserve"> </w:t>
      </w:r>
      <w:r>
        <w:t>Strategic</w:t>
      </w:r>
      <w:r>
        <w:rPr>
          <w:spacing w:val="27"/>
        </w:rPr>
        <w:t xml:space="preserve"> </w:t>
      </w:r>
      <w:r>
        <w:t>Marketing,</w:t>
      </w:r>
      <w:r>
        <w:rPr>
          <w:spacing w:val="26"/>
        </w:rPr>
        <w:t xml:space="preserve"> </w:t>
      </w:r>
      <w:r>
        <w:t>25(5–6),</w:t>
      </w:r>
      <w:r>
        <w:rPr>
          <w:spacing w:val="26"/>
        </w:rPr>
        <w:t xml:space="preserve"> </w:t>
      </w:r>
      <w:r>
        <w:t>418–</w:t>
      </w:r>
    </w:p>
    <w:p w:rsidR="00E632C8" w:rsidRDefault="00D21170">
      <w:pPr>
        <w:spacing w:line="252" w:lineRule="exact"/>
        <w:ind w:left="1080"/>
        <w:jc w:val="both"/>
      </w:pPr>
      <w:r>
        <w:t xml:space="preserve">438. </w:t>
      </w:r>
      <w:hyperlink r:id="rId10">
        <w:r>
          <w:rPr>
            <w:spacing w:val="-2"/>
          </w:rPr>
          <w:t>https://doi.org/10.1080/0965254X.2016.1148771</w:t>
        </w:r>
      </w:hyperlink>
    </w:p>
    <w:p w:rsidR="00E632C8" w:rsidRDefault="00D21170">
      <w:pPr>
        <w:pStyle w:val="ListParagraph"/>
        <w:numPr>
          <w:ilvl w:val="0"/>
          <w:numId w:val="1"/>
        </w:numPr>
        <w:tabs>
          <w:tab w:val="left" w:pos="1080"/>
        </w:tabs>
        <w:spacing w:before="37" w:line="276" w:lineRule="auto"/>
        <w:ind w:right="719"/>
        <w:jc w:val="both"/>
      </w:pPr>
      <w:proofErr w:type="spellStart"/>
      <w:r>
        <w:t>Sewaka</w:t>
      </w:r>
      <w:proofErr w:type="spellEnd"/>
      <w:r>
        <w:t xml:space="preserve">, S., </w:t>
      </w:r>
      <w:proofErr w:type="spellStart"/>
      <w:r>
        <w:t>Anggraini</w:t>
      </w:r>
      <w:proofErr w:type="spellEnd"/>
      <w:r>
        <w:t xml:space="preserve">, K., </w:t>
      </w:r>
      <w:proofErr w:type="spellStart"/>
      <w:r>
        <w:t>Mas'adi</w:t>
      </w:r>
      <w:proofErr w:type="spellEnd"/>
      <w:r>
        <w:t xml:space="preserve">, M., </w:t>
      </w:r>
      <w:proofErr w:type="spellStart"/>
      <w:r>
        <w:t>Nurhadi</w:t>
      </w:r>
      <w:proofErr w:type="spellEnd"/>
      <w:r>
        <w:t xml:space="preserve">, A., &amp; </w:t>
      </w:r>
      <w:proofErr w:type="spellStart"/>
      <w:r>
        <w:t>Arianto</w:t>
      </w:r>
      <w:proofErr w:type="spellEnd"/>
      <w:r>
        <w:t>, N. (2021). The effect of customer satisfaction and service quality of banking produ</w:t>
      </w:r>
      <w:r>
        <w:t>cts on loyalty of bank customer in Tangerang. International Journal of Artificial Intelligence Research, 6(1), 295.</w:t>
      </w:r>
    </w:p>
    <w:p w:rsidR="00E632C8" w:rsidRDefault="00D21170">
      <w:pPr>
        <w:pStyle w:val="ListParagraph"/>
        <w:numPr>
          <w:ilvl w:val="0"/>
          <w:numId w:val="1"/>
        </w:numPr>
        <w:tabs>
          <w:tab w:val="left" w:pos="1080"/>
        </w:tabs>
        <w:spacing w:before="1" w:line="276" w:lineRule="auto"/>
        <w:ind w:right="716"/>
        <w:jc w:val="both"/>
      </w:pPr>
      <w:proofErr w:type="spellStart"/>
      <w:r>
        <w:t>Shafeeq</w:t>
      </w:r>
      <w:proofErr w:type="spellEnd"/>
      <w:r>
        <w:t>, M., &amp; Beg, S. (2021). A study to assess the impact of COVID-19 pandemic on digital financial</w:t>
      </w:r>
      <w:r>
        <w:rPr>
          <w:spacing w:val="-5"/>
        </w:rPr>
        <w:t xml:space="preserve"> </w:t>
      </w:r>
      <w:r>
        <w:t>services</w:t>
      </w:r>
      <w:r>
        <w:rPr>
          <w:spacing w:val="-3"/>
        </w:rPr>
        <w:t xml:space="preserve"> </w:t>
      </w:r>
      <w:r>
        <w:t>and</w:t>
      </w:r>
      <w:r>
        <w:rPr>
          <w:spacing w:val="-3"/>
        </w:rPr>
        <w:t xml:space="preserve"> </w:t>
      </w:r>
      <w:r>
        <w:t>digital</w:t>
      </w:r>
      <w:r>
        <w:rPr>
          <w:spacing w:val="-2"/>
        </w:rPr>
        <w:t xml:space="preserve"> </w:t>
      </w:r>
      <w:r>
        <w:t>financial</w:t>
      </w:r>
      <w:r>
        <w:rPr>
          <w:spacing w:val="-5"/>
        </w:rPr>
        <w:t xml:space="preserve"> </w:t>
      </w:r>
      <w:r>
        <w:t>inclusi</w:t>
      </w:r>
      <w:r>
        <w:t>on</w:t>
      </w:r>
      <w:r>
        <w:rPr>
          <w:spacing w:val="-6"/>
        </w:rPr>
        <w:t xml:space="preserve"> </w:t>
      </w:r>
      <w:r>
        <w:t>in</w:t>
      </w:r>
      <w:r>
        <w:rPr>
          <w:spacing w:val="-3"/>
        </w:rPr>
        <w:t xml:space="preserve"> </w:t>
      </w:r>
      <w:r>
        <w:t>India.</w:t>
      </w:r>
      <w:r>
        <w:rPr>
          <w:spacing w:val="-3"/>
        </w:rPr>
        <w:t xml:space="preserve"> </w:t>
      </w:r>
      <w:r>
        <w:t>African</w:t>
      </w:r>
      <w:r>
        <w:rPr>
          <w:spacing w:val="-3"/>
        </w:rPr>
        <w:t xml:space="preserve"> </w:t>
      </w:r>
      <w:r>
        <w:t>Journal</w:t>
      </w:r>
      <w:r>
        <w:rPr>
          <w:spacing w:val="-2"/>
        </w:rPr>
        <w:t xml:space="preserve"> </w:t>
      </w:r>
      <w:r>
        <w:t>of</w:t>
      </w:r>
      <w:r>
        <w:rPr>
          <w:spacing w:val="-3"/>
        </w:rPr>
        <w:t xml:space="preserve"> </w:t>
      </w:r>
      <w:r>
        <w:t>Accounting,</w:t>
      </w:r>
      <w:r>
        <w:rPr>
          <w:spacing w:val="-3"/>
        </w:rPr>
        <w:t xml:space="preserve"> </w:t>
      </w:r>
      <w:r>
        <w:t>Auditing and Finance, 7(4), 326–345.</w:t>
      </w:r>
    </w:p>
    <w:p w:rsidR="00E632C8" w:rsidRDefault="00D21170">
      <w:pPr>
        <w:pStyle w:val="ListParagraph"/>
        <w:numPr>
          <w:ilvl w:val="0"/>
          <w:numId w:val="1"/>
        </w:numPr>
        <w:tabs>
          <w:tab w:val="left" w:pos="1080"/>
        </w:tabs>
        <w:spacing w:before="1" w:line="276" w:lineRule="auto"/>
        <w:ind w:right="720"/>
        <w:jc w:val="both"/>
      </w:pPr>
      <w:r>
        <w:t>Shankar, A., &amp; Rishi, B. (2020). Convenience matter in mobile banking adoption intention? Australasian Marketing Journal, 28(4), 273–285.</w:t>
      </w:r>
    </w:p>
    <w:p w:rsidR="00E632C8" w:rsidRDefault="00D21170">
      <w:pPr>
        <w:pStyle w:val="ListParagraph"/>
        <w:numPr>
          <w:ilvl w:val="0"/>
          <w:numId w:val="1"/>
        </w:numPr>
        <w:tabs>
          <w:tab w:val="left" w:pos="1080"/>
        </w:tabs>
        <w:spacing w:line="276" w:lineRule="auto"/>
        <w:ind w:right="722"/>
        <w:jc w:val="both"/>
      </w:pPr>
      <w:r>
        <w:t>Tetteh, J. E. (2022). Electronic bank</w:t>
      </w:r>
      <w:r>
        <w:t>ing service quality: Perception of customers in the Greater Accra Region of Ghana. Journal of Internet Commerce, 21(1), 104–131.</w:t>
      </w:r>
    </w:p>
    <w:sectPr w:rsidR="00E632C8">
      <w:pgSz w:w="12240" w:h="15840"/>
      <w:pgMar w:top="2600" w:right="720" w:bottom="1280" w:left="1080" w:header="718" w:footer="10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170" w:rsidRDefault="00D21170">
      <w:r>
        <w:separator/>
      </w:r>
    </w:p>
  </w:endnote>
  <w:endnote w:type="continuationSeparator" w:id="0">
    <w:p w:rsidR="00D21170" w:rsidRDefault="00D2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32C8" w:rsidRDefault="00D21170">
    <w:pPr>
      <w:pStyle w:val="BodyText"/>
      <w:spacing w:line="14" w:lineRule="auto"/>
      <w:ind w:left="0" w:right="0"/>
      <w:jc w:val="left"/>
      <w:rPr>
        <w:sz w:val="20"/>
      </w:rPr>
    </w:pPr>
    <w:r>
      <w:rPr>
        <w:noProof/>
        <w:sz w:val="20"/>
      </w:rPr>
      <mc:AlternateContent>
        <mc:Choice Requires="wps">
          <w:drawing>
            <wp:anchor distT="0" distB="0" distL="0" distR="0" simplePos="0" relativeHeight="251663360" behindDoc="1" locked="0" layoutInCell="1" allowOverlap="1">
              <wp:simplePos x="0" y="0"/>
              <wp:positionH relativeFrom="page">
                <wp:posOffset>902004</wp:posOffset>
              </wp:positionH>
              <wp:positionV relativeFrom="page">
                <wp:posOffset>9223789</wp:posOffset>
              </wp:positionV>
              <wp:extent cx="277304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3045" cy="194310"/>
                      </a:xfrm>
                      <a:prstGeom prst="rect">
                        <a:avLst/>
                      </a:prstGeom>
                    </wps:spPr>
                    <wps:txbx>
                      <w:txbxContent>
                        <w:p w:rsidR="00E632C8" w:rsidRDefault="00D21170">
                          <w:pPr>
                            <w:spacing w:before="10"/>
                            <w:ind w:left="20"/>
                            <w:rPr>
                              <w:b/>
                              <w:sz w:val="24"/>
                            </w:rPr>
                          </w:pPr>
                          <w:r>
                            <w:rPr>
                              <w:b/>
                              <w:color w:val="365F91"/>
                              <w:sz w:val="24"/>
                            </w:rPr>
                            <w:t>Volume</w:t>
                          </w:r>
                          <w:r>
                            <w:rPr>
                              <w:b/>
                              <w:color w:val="365F91"/>
                              <w:spacing w:val="-5"/>
                              <w:sz w:val="24"/>
                            </w:rPr>
                            <w:t xml:space="preserve"> </w:t>
                          </w:r>
                          <w:r>
                            <w:rPr>
                              <w:b/>
                              <w:color w:val="365F91"/>
                              <w:sz w:val="24"/>
                            </w:rPr>
                            <w:t>15</w:t>
                          </w:r>
                          <w:r>
                            <w:rPr>
                              <w:b/>
                              <w:color w:val="365F91"/>
                              <w:spacing w:val="-1"/>
                              <w:sz w:val="24"/>
                            </w:rPr>
                            <w:t xml:space="preserve"> </w:t>
                          </w:r>
                          <w:r>
                            <w:rPr>
                              <w:b/>
                              <w:color w:val="365F91"/>
                              <w:sz w:val="24"/>
                            </w:rPr>
                            <w:t>Issue</w:t>
                          </w:r>
                          <w:r>
                            <w:rPr>
                              <w:b/>
                              <w:color w:val="365F91"/>
                              <w:spacing w:val="-3"/>
                              <w:sz w:val="24"/>
                            </w:rPr>
                            <w:t xml:space="preserve"> </w:t>
                          </w:r>
                          <w:r>
                            <w:rPr>
                              <w:b/>
                              <w:color w:val="365F91"/>
                              <w:sz w:val="24"/>
                            </w:rPr>
                            <w:t>03</w:t>
                          </w:r>
                          <w:r>
                            <w:rPr>
                              <w:b/>
                              <w:color w:val="365F91"/>
                              <w:spacing w:val="-1"/>
                              <w:sz w:val="24"/>
                            </w:rPr>
                            <w:t xml:space="preserve"> </w:t>
                          </w:r>
                          <w:r>
                            <w:rPr>
                              <w:b/>
                              <w:color w:val="365F91"/>
                              <w:sz w:val="24"/>
                            </w:rPr>
                            <w:t>July</w:t>
                          </w:r>
                          <w:r>
                            <w:rPr>
                              <w:b/>
                              <w:color w:val="365F91"/>
                              <w:spacing w:val="-1"/>
                              <w:sz w:val="24"/>
                            </w:rPr>
                            <w:t xml:space="preserve"> </w:t>
                          </w:r>
                          <w:r>
                            <w:rPr>
                              <w:b/>
                              <w:color w:val="365F91"/>
                              <w:sz w:val="24"/>
                            </w:rPr>
                            <w:t>-</w:t>
                          </w:r>
                          <w:r>
                            <w:rPr>
                              <w:b/>
                              <w:color w:val="365F91"/>
                              <w:spacing w:val="-2"/>
                              <w:sz w:val="24"/>
                            </w:rPr>
                            <w:t xml:space="preserve"> </w:t>
                          </w:r>
                          <w:r>
                            <w:rPr>
                              <w:b/>
                              <w:color w:val="365F91"/>
                              <w:sz w:val="24"/>
                            </w:rPr>
                            <w:t>September</w:t>
                          </w:r>
                          <w:r>
                            <w:rPr>
                              <w:b/>
                              <w:color w:val="365F91"/>
                              <w:spacing w:val="-2"/>
                              <w:sz w:val="24"/>
                            </w:rPr>
                            <w:t xml:space="preserve"> </w:t>
                          </w:r>
                          <w:r>
                            <w:rPr>
                              <w:b/>
                              <w:color w:val="365F91"/>
                              <w:spacing w:val="-4"/>
                              <w:sz w:val="24"/>
                            </w:rPr>
                            <w:t>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71pt;margin-top:726.3pt;width:218.35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" filled="f" stroked="f">
              <v:textbox inset="0,0,0,0">
                <w:txbxContent>
                  <w:p w:rsidR="00E632C8" w:rsidRDefault="00D21170">
                    <w:pPr>
                      <w:spacing w:before="10"/>
                      <w:ind w:left="20"/>
                      <w:rPr>
                        <w:b/>
                        <w:sz w:val="24"/>
                      </w:rPr>
                    </w:pPr>
                    <w:r>
                      <w:rPr>
                        <w:b/>
                        <w:color w:val="365F91"/>
                        <w:sz w:val="24"/>
                      </w:rPr>
                      <w:t>Volume</w:t>
                    </w:r>
                    <w:r>
                      <w:rPr>
                        <w:b/>
                        <w:color w:val="365F91"/>
                        <w:spacing w:val="-5"/>
                        <w:sz w:val="24"/>
                      </w:rPr>
                      <w:t xml:space="preserve"> </w:t>
                    </w:r>
                    <w:r>
                      <w:rPr>
                        <w:b/>
                        <w:color w:val="365F91"/>
                        <w:sz w:val="24"/>
                      </w:rPr>
                      <w:t>15</w:t>
                    </w:r>
                    <w:r>
                      <w:rPr>
                        <w:b/>
                        <w:color w:val="365F91"/>
                        <w:spacing w:val="-1"/>
                        <w:sz w:val="24"/>
                      </w:rPr>
                      <w:t xml:space="preserve"> </w:t>
                    </w:r>
                    <w:r>
                      <w:rPr>
                        <w:b/>
                        <w:color w:val="365F91"/>
                        <w:sz w:val="24"/>
                      </w:rPr>
                      <w:t>Issue</w:t>
                    </w:r>
                    <w:r>
                      <w:rPr>
                        <w:b/>
                        <w:color w:val="365F91"/>
                        <w:spacing w:val="-3"/>
                        <w:sz w:val="24"/>
                      </w:rPr>
                      <w:t xml:space="preserve"> </w:t>
                    </w:r>
                    <w:r>
                      <w:rPr>
                        <w:b/>
                        <w:color w:val="365F91"/>
                        <w:sz w:val="24"/>
                      </w:rPr>
                      <w:t>03</w:t>
                    </w:r>
                    <w:r>
                      <w:rPr>
                        <w:b/>
                        <w:color w:val="365F91"/>
                        <w:spacing w:val="-1"/>
                        <w:sz w:val="24"/>
                      </w:rPr>
                      <w:t xml:space="preserve"> </w:t>
                    </w:r>
                    <w:r>
                      <w:rPr>
                        <w:b/>
                        <w:color w:val="365F91"/>
                        <w:sz w:val="24"/>
                      </w:rPr>
                      <w:t>July</w:t>
                    </w:r>
                    <w:r>
                      <w:rPr>
                        <w:b/>
                        <w:color w:val="365F91"/>
                        <w:spacing w:val="-1"/>
                        <w:sz w:val="24"/>
                      </w:rPr>
                      <w:t xml:space="preserve"> </w:t>
                    </w:r>
                    <w:r>
                      <w:rPr>
                        <w:b/>
                        <w:color w:val="365F91"/>
                        <w:sz w:val="24"/>
                      </w:rPr>
                      <w:t>-</w:t>
                    </w:r>
                    <w:r>
                      <w:rPr>
                        <w:b/>
                        <w:color w:val="365F91"/>
                        <w:spacing w:val="-2"/>
                        <w:sz w:val="24"/>
                      </w:rPr>
                      <w:t xml:space="preserve"> </w:t>
                    </w:r>
                    <w:r>
                      <w:rPr>
                        <w:b/>
                        <w:color w:val="365F91"/>
                        <w:sz w:val="24"/>
                      </w:rPr>
                      <w:t>September</w:t>
                    </w:r>
                    <w:r>
                      <w:rPr>
                        <w:b/>
                        <w:color w:val="365F91"/>
                        <w:spacing w:val="-2"/>
                        <w:sz w:val="24"/>
                      </w:rPr>
                      <w:t xml:space="preserve"> </w:t>
                    </w:r>
                    <w:r>
                      <w:rPr>
                        <w:b/>
                        <w:color w:val="365F91"/>
                        <w:spacing w:val="-4"/>
                        <w:sz w:val="24"/>
                      </w:rPr>
                      <w:t>2025</w:t>
                    </w:r>
                  </w:p>
                </w:txbxContent>
              </v:textbox>
              <w10:wrap anchorx="page" anchory="page"/>
            </v:shape>
          </w:pict>
        </mc:Fallback>
      </mc:AlternateContent>
    </w:r>
    <w:r>
      <w:rPr>
        <w:noProof/>
        <w:sz w:val="20"/>
      </w:rPr>
      <mc:AlternateContent>
        <mc:Choice Requires="wps">
          <w:drawing>
            <wp:anchor distT="0" distB="0" distL="0" distR="0" simplePos="0" relativeHeight="251666432" behindDoc="1" locked="0" layoutInCell="1" allowOverlap="1">
              <wp:simplePos x="0" y="0"/>
              <wp:positionH relativeFrom="page">
                <wp:posOffset>6444741</wp:posOffset>
              </wp:positionH>
              <wp:positionV relativeFrom="page">
                <wp:posOffset>9223789</wp:posOffset>
              </wp:positionV>
              <wp:extent cx="3175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E632C8" w:rsidRDefault="00D21170">
                          <w:pPr>
                            <w:pStyle w:val="BodyText"/>
                            <w:spacing w:before="10"/>
                            <w:ind w:left="60" w:right="0"/>
                            <w:jc w:val="left"/>
                          </w:pPr>
                          <w:r>
                            <w:rPr>
                              <w:color w:val="365F91"/>
                              <w:spacing w:val="-5"/>
                            </w:rPr>
                            <w:fldChar w:fldCharType="begin"/>
                          </w:r>
                          <w:r>
                            <w:rPr>
                              <w:color w:val="365F91"/>
                              <w:spacing w:val="-5"/>
                            </w:rPr>
                            <w:instrText xml:space="preserve"> PAGE </w:instrText>
                          </w:r>
                          <w:r>
                            <w:rPr>
                              <w:color w:val="365F91"/>
                              <w:spacing w:val="-5"/>
                            </w:rPr>
                            <w:fldChar w:fldCharType="separate"/>
                          </w:r>
                          <w:r>
                            <w:rPr>
                              <w:color w:val="365F91"/>
                              <w:spacing w:val="-5"/>
                            </w:rPr>
                            <w:t>291</w:t>
                          </w:r>
                          <w:r>
                            <w:rPr>
                              <w:color w:val="365F91"/>
                              <w:spacing w:val="-5"/>
                            </w:rPr>
                            <w:fldChar w:fldCharType="end"/>
                          </w:r>
                        </w:p>
                      </w:txbxContent>
                    </wps:txbx>
                    <wps:bodyPr wrap="square" lIns="0" tIns="0" rIns="0" bIns="0" rtlCol="0">
                      <a:noAutofit/>
                    </wps:bodyPr>
                  </wps:wsp>
                </a:graphicData>
              </a:graphic>
            </wp:anchor>
          </w:drawing>
        </mc:Choice>
        <mc:Fallback>
          <w:pict>
            <v:shape id="Textbox 6" o:spid="_x0000_s1030" type="#_x0000_t202" style="position:absolute;margin-left:507.45pt;margin-top:726.3pt;width:25pt;height:15.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" filled="f" stroked="f">
              <v:textbox inset="0,0,0,0">
                <w:txbxContent>
                  <w:p w:rsidR="00E632C8" w:rsidRDefault="00D21170">
                    <w:pPr>
                      <w:pStyle w:val="BodyText"/>
                      <w:spacing w:before="10"/>
                      <w:ind w:left="60" w:right="0"/>
                      <w:jc w:val="left"/>
                    </w:pPr>
                    <w:r>
                      <w:rPr>
                        <w:color w:val="365F91"/>
                        <w:spacing w:val="-5"/>
                      </w:rPr>
                      <w:fldChar w:fldCharType="begin"/>
                    </w:r>
                    <w:r>
                      <w:rPr>
                        <w:color w:val="365F91"/>
                        <w:spacing w:val="-5"/>
                      </w:rPr>
                      <w:instrText xml:space="preserve"> PAGE </w:instrText>
                    </w:r>
                    <w:r>
                      <w:rPr>
                        <w:color w:val="365F91"/>
                        <w:spacing w:val="-5"/>
                      </w:rPr>
                      <w:fldChar w:fldCharType="separate"/>
                    </w:r>
                    <w:r>
                      <w:rPr>
                        <w:color w:val="365F91"/>
                        <w:spacing w:val="-5"/>
                      </w:rPr>
                      <w:t>291</w:t>
                    </w:r>
                    <w:r>
                      <w:rPr>
                        <w:color w:val="365F91"/>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170" w:rsidRDefault="00D21170">
      <w:r>
        <w:separator/>
      </w:r>
    </w:p>
  </w:footnote>
  <w:footnote w:type="continuationSeparator" w:id="0">
    <w:p w:rsidR="00D21170" w:rsidRDefault="00D21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32C8" w:rsidRDefault="00D21170">
    <w:pPr>
      <w:pStyle w:val="BodyText"/>
      <w:spacing w:line="14" w:lineRule="auto"/>
      <w:ind w:left="0" w:right="0"/>
      <w:jc w:val="left"/>
      <w:rPr>
        <w:sz w:val="20"/>
      </w:rPr>
    </w:pPr>
    <w:r>
      <w:rPr>
        <w:noProof/>
        <w:sz w:val="20"/>
      </w:rPr>
      <w:drawing>
        <wp:anchor distT="0" distB="0" distL="0" distR="0" simplePos="0" relativeHeight="251651072" behindDoc="1" locked="0" layoutInCell="1" allowOverlap="1">
          <wp:simplePos x="0" y="0"/>
          <wp:positionH relativeFrom="page">
            <wp:posOffset>914400</wp:posOffset>
          </wp:positionH>
          <wp:positionV relativeFrom="page">
            <wp:posOffset>457200</wp:posOffset>
          </wp:positionV>
          <wp:extent cx="1161846" cy="1196975"/>
          <wp:effectExtent l="0" t="0" r="0" b="0"/>
          <wp:wrapNone/>
          <wp:docPr id="1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61846" cy="1196975"/>
                  </a:xfrm>
                  <a:prstGeom prst="rect">
                    <a:avLst/>
                  </a:prstGeom>
                </pic:spPr>
              </pic:pic>
            </a:graphicData>
          </a:graphic>
        </wp:anchor>
      </w:drawing>
    </w:r>
    <w:r>
      <w:rPr>
        <w:noProof/>
        <w:sz w:val="20"/>
      </w:rPr>
      <mc:AlternateContent>
        <mc:Choice Requires="wps">
          <w:drawing>
            <wp:anchor distT="0" distB="0" distL="0" distR="0" simplePos="0" relativeHeight="251654144" behindDoc="1" locked="0" layoutInCell="1" allowOverlap="1">
              <wp:simplePos x="0" y="0"/>
              <wp:positionH relativeFrom="page">
                <wp:posOffset>2351277</wp:posOffset>
              </wp:positionH>
              <wp:positionV relativeFrom="page">
                <wp:posOffset>443459</wp:posOffset>
              </wp:positionV>
              <wp:extent cx="4368165" cy="801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165" cy="801370"/>
                      </a:xfrm>
                      <a:prstGeom prst="rect">
                        <a:avLst/>
                      </a:prstGeom>
                    </wps:spPr>
                    <wps:txbx>
                      <w:txbxContent>
                        <w:p w:rsidR="00E632C8" w:rsidRDefault="00D21170">
                          <w:pPr>
                            <w:spacing w:before="20"/>
                            <w:ind w:right="3"/>
                            <w:jc w:val="center"/>
                            <w:rPr>
                              <w:rFonts w:ascii="Cambria"/>
                              <w:b/>
                              <w:sz w:val="40"/>
                            </w:rPr>
                          </w:pPr>
                          <w:r>
                            <w:rPr>
                              <w:rFonts w:ascii="Cambria"/>
                              <w:b/>
                              <w:color w:val="365F91"/>
                              <w:sz w:val="40"/>
                            </w:rPr>
                            <w:t>International</w:t>
                          </w:r>
                          <w:r>
                            <w:rPr>
                              <w:rFonts w:ascii="Cambria"/>
                              <w:b/>
                              <w:color w:val="365F91"/>
                              <w:spacing w:val="-13"/>
                              <w:sz w:val="40"/>
                            </w:rPr>
                            <w:t xml:space="preserve"> </w:t>
                          </w:r>
                          <w:r>
                            <w:rPr>
                              <w:rFonts w:ascii="Cambria"/>
                              <w:b/>
                              <w:color w:val="365F91"/>
                              <w:sz w:val="40"/>
                            </w:rPr>
                            <w:t>Journal</w:t>
                          </w:r>
                          <w:r>
                            <w:rPr>
                              <w:rFonts w:ascii="Cambria"/>
                              <w:b/>
                              <w:color w:val="365F91"/>
                              <w:spacing w:val="-13"/>
                              <w:sz w:val="40"/>
                            </w:rPr>
                            <w:t xml:space="preserve"> </w:t>
                          </w:r>
                          <w:r>
                            <w:rPr>
                              <w:rFonts w:ascii="Cambria"/>
                              <w:b/>
                              <w:color w:val="365F91"/>
                              <w:sz w:val="40"/>
                            </w:rPr>
                            <w:t>of</w:t>
                          </w:r>
                          <w:r>
                            <w:rPr>
                              <w:rFonts w:ascii="Cambria"/>
                              <w:b/>
                              <w:color w:val="365F91"/>
                              <w:spacing w:val="-14"/>
                              <w:sz w:val="40"/>
                            </w:rPr>
                            <w:t xml:space="preserve"> </w:t>
                          </w:r>
                          <w:r>
                            <w:rPr>
                              <w:rFonts w:ascii="Cambria"/>
                              <w:b/>
                              <w:color w:val="365F91"/>
                              <w:sz w:val="40"/>
                            </w:rPr>
                            <w:t>Engineering, Science and Humanities</w:t>
                          </w:r>
                        </w:p>
                        <w:p w:rsidR="00E632C8" w:rsidRDefault="00D21170">
                          <w:pPr>
                            <w:spacing w:before="2"/>
                            <w:ind w:left="3" w:right="3"/>
                            <w:jc w:val="center"/>
                            <w:rPr>
                              <w:rFonts w:ascii="Cambria"/>
                              <w:b/>
                              <w:sz w:val="24"/>
                            </w:rPr>
                          </w:pPr>
                          <w:r>
                            <w:rPr>
                              <w:rFonts w:ascii="Cambria"/>
                              <w:b/>
                              <w:color w:val="365F91"/>
                              <w:sz w:val="24"/>
                            </w:rPr>
                            <w:t>An</w:t>
                          </w:r>
                          <w:r>
                            <w:rPr>
                              <w:rFonts w:ascii="Cambria"/>
                              <w:b/>
                              <w:color w:val="365F91"/>
                              <w:spacing w:val="-4"/>
                              <w:sz w:val="24"/>
                            </w:rPr>
                            <w:t xml:space="preserve"> </w:t>
                          </w:r>
                          <w:r>
                            <w:rPr>
                              <w:rFonts w:ascii="Cambria"/>
                              <w:b/>
                              <w:color w:val="365F91"/>
                              <w:sz w:val="24"/>
                            </w:rPr>
                            <w:t>international</w:t>
                          </w:r>
                          <w:r>
                            <w:rPr>
                              <w:rFonts w:ascii="Cambria"/>
                              <w:b/>
                              <w:color w:val="365F91"/>
                              <w:spacing w:val="-2"/>
                              <w:sz w:val="24"/>
                            </w:rPr>
                            <w:t xml:space="preserve"> </w:t>
                          </w:r>
                          <w:r>
                            <w:rPr>
                              <w:rFonts w:ascii="Cambria"/>
                              <w:b/>
                              <w:color w:val="365F91"/>
                              <w:sz w:val="24"/>
                            </w:rPr>
                            <w:t>peer</w:t>
                          </w:r>
                          <w:r>
                            <w:rPr>
                              <w:rFonts w:ascii="Cambria"/>
                              <w:b/>
                              <w:color w:val="365F91"/>
                              <w:spacing w:val="-3"/>
                              <w:sz w:val="24"/>
                            </w:rPr>
                            <w:t xml:space="preserve"> </w:t>
                          </w:r>
                          <w:r>
                            <w:rPr>
                              <w:rFonts w:ascii="Cambria"/>
                              <w:b/>
                              <w:color w:val="365F91"/>
                              <w:sz w:val="24"/>
                            </w:rPr>
                            <w:t>reviewed,</w:t>
                          </w:r>
                          <w:r>
                            <w:rPr>
                              <w:rFonts w:ascii="Cambria"/>
                              <w:b/>
                              <w:color w:val="365F91"/>
                              <w:spacing w:val="-3"/>
                              <w:sz w:val="24"/>
                            </w:rPr>
                            <w:t xml:space="preserve"> </w:t>
                          </w:r>
                          <w:r>
                            <w:rPr>
                              <w:rFonts w:ascii="Cambria"/>
                              <w:b/>
                              <w:color w:val="365F91"/>
                              <w:sz w:val="24"/>
                            </w:rPr>
                            <w:t>refereed,</w:t>
                          </w:r>
                          <w:r>
                            <w:rPr>
                              <w:rFonts w:ascii="Cambria"/>
                              <w:b/>
                              <w:color w:val="365F91"/>
                              <w:spacing w:val="-3"/>
                              <w:sz w:val="24"/>
                            </w:rPr>
                            <w:t xml:space="preserve"> </w:t>
                          </w:r>
                          <w:r>
                            <w:rPr>
                              <w:rFonts w:ascii="Cambria"/>
                              <w:b/>
                              <w:color w:val="365F91"/>
                              <w:sz w:val="24"/>
                            </w:rPr>
                            <w:t>open-access</w:t>
                          </w:r>
                          <w:r>
                            <w:rPr>
                              <w:rFonts w:ascii="Cambria"/>
                              <w:b/>
                              <w:color w:val="365F91"/>
                              <w:spacing w:val="-2"/>
                              <w:sz w:val="24"/>
                            </w:rPr>
                            <w:t xml:space="preserve"> journal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185.15pt;margin-top:34.9pt;width:343.95pt;height:63.1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" filled="f" stroked="f">
              <v:textbox inset="0,0,0,0">
                <w:txbxContent>
                  <w:p w:rsidR="00E632C8" w:rsidRDefault="00D21170">
                    <w:pPr>
                      <w:spacing w:before="20"/>
                      <w:ind w:right="3"/>
                      <w:jc w:val="center"/>
                      <w:rPr>
                        <w:rFonts w:ascii="Cambria"/>
                        <w:b/>
                        <w:sz w:val="40"/>
                      </w:rPr>
                    </w:pPr>
                    <w:r>
                      <w:rPr>
                        <w:rFonts w:ascii="Cambria"/>
                        <w:b/>
                        <w:color w:val="365F91"/>
                        <w:sz w:val="40"/>
                      </w:rPr>
                      <w:t>International</w:t>
                    </w:r>
                    <w:r>
                      <w:rPr>
                        <w:rFonts w:ascii="Cambria"/>
                        <w:b/>
                        <w:color w:val="365F91"/>
                        <w:spacing w:val="-13"/>
                        <w:sz w:val="40"/>
                      </w:rPr>
                      <w:t xml:space="preserve"> </w:t>
                    </w:r>
                    <w:r>
                      <w:rPr>
                        <w:rFonts w:ascii="Cambria"/>
                        <w:b/>
                        <w:color w:val="365F91"/>
                        <w:sz w:val="40"/>
                      </w:rPr>
                      <w:t>Journal</w:t>
                    </w:r>
                    <w:r>
                      <w:rPr>
                        <w:rFonts w:ascii="Cambria"/>
                        <w:b/>
                        <w:color w:val="365F91"/>
                        <w:spacing w:val="-13"/>
                        <w:sz w:val="40"/>
                      </w:rPr>
                      <w:t xml:space="preserve"> </w:t>
                    </w:r>
                    <w:r>
                      <w:rPr>
                        <w:rFonts w:ascii="Cambria"/>
                        <w:b/>
                        <w:color w:val="365F91"/>
                        <w:sz w:val="40"/>
                      </w:rPr>
                      <w:t>of</w:t>
                    </w:r>
                    <w:r>
                      <w:rPr>
                        <w:rFonts w:ascii="Cambria"/>
                        <w:b/>
                        <w:color w:val="365F91"/>
                        <w:spacing w:val="-14"/>
                        <w:sz w:val="40"/>
                      </w:rPr>
                      <w:t xml:space="preserve"> </w:t>
                    </w:r>
                    <w:r>
                      <w:rPr>
                        <w:rFonts w:ascii="Cambria"/>
                        <w:b/>
                        <w:color w:val="365F91"/>
                        <w:sz w:val="40"/>
                      </w:rPr>
                      <w:t>Engineering, Science and Humanities</w:t>
                    </w:r>
                  </w:p>
                  <w:p w:rsidR="00E632C8" w:rsidRDefault="00D21170">
                    <w:pPr>
                      <w:spacing w:before="2"/>
                      <w:ind w:left="3" w:right="3"/>
                      <w:jc w:val="center"/>
                      <w:rPr>
                        <w:rFonts w:ascii="Cambria"/>
                        <w:b/>
                        <w:sz w:val="24"/>
                      </w:rPr>
                    </w:pPr>
                    <w:r>
                      <w:rPr>
                        <w:rFonts w:ascii="Cambria"/>
                        <w:b/>
                        <w:color w:val="365F91"/>
                        <w:sz w:val="24"/>
                      </w:rPr>
                      <w:t>An</w:t>
                    </w:r>
                    <w:r>
                      <w:rPr>
                        <w:rFonts w:ascii="Cambria"/>
                        <w:b/>
                        <w:color w:val="365F91"/>
                        <w:spacing w:val="-4"/>
                        <w:sz w:val="24"/>
                      </w:rPr>
                      <w:t xml:space="preserve"> </w:t>
                    </w:r>
                    <w:r>
                      <w:rPr>
                        <w:rFonts w:ascii="Cambria"/>
                        <w:b/>
                        <w:color w:val="365F91"/>
                        <w:sz w:val="24"/>
                      </w:rPr>
                      <w:t>international</w:t>
                    </w:r>
                    <w:r>
                      <w:rPr>
                        <w:rFonts w:ascii="Cambria"/>
                        <w:b/>
                        <w:color w:val="365F91"/>
                        <w:spacing w:val="-2"/>
                        <w:sz w:val="24"/>
                      </w:rPr>
                      <w:t xml:space="preserve"> </w:t>
                    </w:r>
                    <w:r>
                      <w:rPr>
                        <w:rFonts w:ascii="Cambria"/>
                        <w:b/>
                        <w:color w:val="365F91"/>
                        <w:sz w:val="24"/>
                      </w:rPr>
                      <w:t>peer</w:t>
                    </w:r>
                    <w:r>
                      <w:rPr>
                        <w:rFonts w:ascii="Cambria"/>
                        <w:b/>
                        <w:color w:val="365F91"/>
                        <w:spacing w:val="-3"/>
                        <w:sz w:val="24"/>
                      </w:rPr>
                      <w:t xml:space="preserve"> </w:t>
                    </w:r>
                    <w:r>
                      <w:rPr>
                        <w:rFonts w:ascii="Cambria"/>
                        <w:b/>
                        <w:color w:val="365F91"/>
                        <w:sz w:val="24"/>
                      </w:rPr>
                      <w:t>reviewed,</w:t>
                    </w:r>
                    <w:r>
                      <w:rPr>
                        <w:rFonts w:ascii="Cambria"/>
                        <w:b/>
                        <w:color w:val="365F91"/>
                        <w:spacing w:val="-3"/>
                        <w:sz w:val="24"/>
                      </w:rPr>
                      <w:t xml:space="preserve"> </w:t>
                    </w:r>
                    <w:r>
                      <w:rPr>
                        <w:rFonts w:ascii="Cambria"/>
                        <w:b/>
                        <w:color w:val="365F91"/>
                        <w:sz w:val="24"/>
                      </w:rPr>
                      <w:t>refereed,</w:t>
                    </w:r>
                    <w:r>
                      <w:rPr>
                        <w:rFonts w:ascii="Cambria"/>
                        <w:b/>
                        <w:color w:val="365F91"/>
                        <w:spacing w:val="-3"/>
                        <w:sz w:val="24"/>
                      </w:rPr>
                      <w:t xml:space="preserve"> </w:t>
                    </w:r>
                    <w:r>
                      <w:rPr>
                        <w:rFonts w:ascii="Cambria"/>
                        <w:b/>
                        <w:color w:val="365F91"/>
                        <w:sz w:val="24"/>
                      </w:rPr>
                      <w:t>open-access</w:t>
                    </w:r>
                    <w:r>
                      <w:rPr>
                        <w:rFonts w:ascii="Cambria"/>
                        <w:b/>
                        <w:color w:val="365F91"/>
                        <w:spacing w:val="-2"/>
                        <w:sz w:val="24"/>
                      </w:rPr>
                      <w:t xml:space="preserve"> journal</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simplePos x="0" y="0"/>
              <wp:positionH relativeFrom="page">
                <wp:posOffset>2390901</wp:posOffset>
              </wp:positionH>
              <wp:positionV relativeFrom="page">
                <wp:posOffset>1227496</wp:posOffset>
              </wp:positionV>
              <wp:extent cx="2820670" cy="2368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236854"/>
                      </a:xfrm>
                      <a:prstGeom prst="rect">
                        <a:avLst/>
                      </a:prstGeom>
                    </wps:spPr>
                    <wps:txbx>
                      <w:txbxContent>
                        <w:p w:rsidR="00E632C8" w:rsidRDefault="00D21170">
                          <w:pPr>
                            <w:tabs>
                              <w:tab w:val="left" w:pos="2535"/>
                            </w:tabs>
                            <w:spacing w:before="7"/>
                            <w:ind w:left="20"/>
                            <w:rPr>
                              <w:sz w:val="30"/>
                            </w:rPr>
                          </w:pPr>
                          <w:r>
                            <w:rPr>
                              <w:b/>
                              <w:color w:val="1F487C"/>
                              <w:sz w:val="30"/>
                            </w:rPr>
                            <w:t>Impact</w:t>
                          </w:r>
                          <w:r>
                            <w:rPr>
                              <w:b/>
                              <w:color w:val="1F487C"/>
                              <w:spacing w:val="-3"/>
                              <w:sz w:val="30"/>
                            </w:rPr>
                            <w:t xml:space="preserve"> </w:t>
                          </w:r>
                          <w:r>
                            <w:rPr>
                              <w:b/>
                              <w:color w:val="1F487C"/>
                              <w:sz w:val="30"/>
                            </w:rPr>
                            <w:t>Factor</w:t>
                          </w:r>
                          <w:r>
                            <w:rPr>
                              <w:b/>
                              <w:color w:val="1F487C"/>
                              <w:spacing w:val="-2"/>
                              <w:sz w:val="30"/>
                            </w:rPr>
                            <w:t xml:space="preserve"> </w:t>
                          </w:r>
                          <w:r>
                            <w:rPr>
                              <w:b/>
                              <w:color w:val="1F487C"/>
                              <w:spacing w:val="-5"/>
                              <w:sz w:val="30"/>
                            </w:rPr>
                            <w:t>8.3</w:t>
                          </w:r>
                          <w:r>
                            <w:rPr>
                              <w:b/>
                              <w:color w:val="1F487C"/>
                              <w:sz w:val="30"/>
                            </w:rPr>
                            <w:tab/>
                          </w:r>
                          <w:hyperlink r:id="rId2">
                            <w:r>
                              <w:rPr>
                                <w:color w:val="1F487C"/>
                                <w:spacing w:val="-2"/>
                                <w:sz w:val="30"/>
                                <w:u w:val="single" w:color="1F487C"/>
                              </w:rPr>
                              <w:t>www.ijesh.com</w:t>
                            </w:r>
                          </w:hyperlink>
                        </w:p>
                      </w:txbxContent>
                    </wps:txbx>
                    <wps:bodyPr wrap="square" lIns="0" tIns="0" rIns="0" bIns="0" rtlCol="0">
                      <a:noAutofit/>
                    </wps:bodyPr>
                  </wps:wsp>
                </a:graphicData>
              </a:graphic>
            </wp:anchor>
          </w:drawing>
        </mc:Choice>
        <mc:Fallback>
          <w:pict>
            <v:shape id="Textbox 3" o:spid="_x0000_s1027" type="#_x0000_t202" style="position:absolute;margin-left:188.25pt;margin-top:96.65pt;width:222.1pt;height:18.6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" filled="f" stroked="f">
              <v:textbox inset="0,0,0,0">
                <w:txbxContent>
                  <w:p w:rsidR="00E632C8" w:rsidRDefault="00D21170">
                    <w:pPr>
                      <w:tabs>
                        <w:tab w:val="left" w:pos="2535"/>
                      </w:tabs>
                      <w:spacing w:before="7"/>
                      <w:ind w:left="20"/>
                      <w:rPr>
                        <w:sz w:val="30"/>
                      </w:rPr>
                    </w:pPr>
                    <w:r>
                      <w:rPr>
                        <w:b/>
                        <w:color w:val="1F487C"/>
                        <w:sz w:val="30"/>
                      </w:rPr>
                      <w:t>Impact</w:t>
                    </w:r>
                    <w:r>
                      <w:rPr>
                        <w:b/>
                        <w:color w:val="1F487C"/>
                        <w:spacing w:val="-3"/>
                        <w:sz w:val="30"/>
                      </w:rPr>
                      <w:t xml:space="preserve"> </w:t>
                    </w:r>
                    <w:r>
                      <w:rPr>
                        <w:b/>
                        <w:color w:val="1F487C"/>
                        <w:sz w:val="30"/>
                      </w:rPr>
                      <w:t>Factor</w:t>
                    </w:r>
                    <w:r>
                      <w:rPr>
                        <w:b/>
                        <w:color w:val="1F487C"/>
                        <w:spacing w:val="-2"/>
                        <w:sz w:val="30"/>
                      </w:rPr>
                      <w:t xml:space="preserve"> </w:t>
                    </w:r>
                    <w:r>
                      <w:rPr>
                        <w:b/>
                        <w:color w:val="1F487C"/>
                        <w:spacing w:val="-5"/>
                        <w:sz w:val="30"/>
                      </w:rPr>
                      <w:t>8.3</w:t>
                    </w:r>
                    <w:r>
                      <w:rPr>
                        <w:b/>
                        <w:color w:val="1F487C"/>
                        <w:sz w:val="30"/>
                      </w:rPr>
                      <w:tab/>
                    </w:r>
                    <w:hyperlink r:id="rId3">
                      <w:r>
                        <w:rPr>
                          <w:color w:val="1F487C"/>
                          <w:spacing w:val="-2"/>
                          <w:sz w:val="30"/>
                          <w:u w:val="single" w:color="1F487C"/>
                        </w:rPr>
                        <w:t>www.ijesh.com</w:t>
                      </w:r>
                    </w:hyperlink>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simplePos x="0" y="0"/>
              <wp:positionH relativeFrom="page">
                <wp:posOffset>5402960</wp:posOffset>
              </wp:positionH>
              <wp:positionV relativeFrom="page">
                <wp:posOffset>1227496</wp:posOffset>
              </wp:positionV>
              <wp:extent cx="1387475" cy="23685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36854"/>
                      </a:xfrm>
                      <a:prstGeom prst="rect">
                        <a:avLst/>
                      </a:prstGeom>
                    </wps:spPr>
                    <wps:txbx>
                      <w:txbxContent>
                        <w:p w:rsidR="00E632C8" w:rsidRDefault="00D21170">
                          <w:pPr>
                            <w:spacing w:before="7"/>
                            <w:ind w:left="20"/>
                            <w:rPr>
                              <w:b/>
                              <w:sz w:val="30"/>
                            </w:rPr>
                          </w:pPr>
                          <w:r>
                            <w:rPr>
                              <w:b/>
                              <w:color w:val="365F91"/>
                              <w:sz w:val="30"/>
                            </w:rPr>
                            <w:t>ISSN:</w:t>
                          </w:r>
                          <w:r>
                            <w:rPr>
                              <w:b/>
                              <w:color w:val="365F91"/>
                              <w:spacing w:val="-3"/>
                              <w:sz w:val="30"/>
                            </w:rPr>
                            <w:t xml:space="preserve"> </w:t>
                          </w:r>
                          <w:r>
                            <w:rPr>
                              <w:b/>
                              <w:color w:val="365F91"/>
                              <w:sz w:val="30"/>
                            </w:rPr>
                            <w:t>2250-</w:t>
                          </w:r>
                          <w:r>
                            <w:rPr>
                              <w:b/>
                              <w:color w:val="365F91"/>
                              <w:spacing w:val="-4"/>
                              <w:sz w:val="30"/>
                            </w:rPr>
                            <w:t>3552</w:t>
                          </w:r>
                        </w:p>
                      </w:txbxContent>
                    </wps:txbx>
                    <wps:bodyPr wrap="square" lIns="0" tIns="0" rIns="0" bIns="0" rtlCol="0">
                      <a:noAutofit/>
                    </wps:bodyPr>
                  </wps:wsp>
                </a:graphicData>
              </a:graphic>
            </wp:anchor>
          </w:drawing>
        </mc:Choice>
        <mc:Fallback>
          <w:pict>
            <v:shape id="Textbox 4" o:spid="_x0000_s1028" type="#_x0000_t202" style="position:absolute;margin-left:425.45pt;margin-top:96.65pt;width:109.25pt;height:18.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" filled="f" stroked="f">
              <v:textbox inset="0,0,0,0">
                <w:txbxContent>
                  <w:p w:rsidR="00E632C8" w:rsidRDefault="00D21170">
                    <w:pPr>
                      <w:spacing w:before="7"/>
                      <w:ind w:left="20"/>
                      <w:rPr>
                        <w:b/>
                        <w:sz w:val="30"/>
                      </w:rPr>
                    </w:pPr>
                    <w:r>
                      <w:rPr>
                        <w:b/>
                        <w:color w:val="365F91"/>
                        <w:sz w:val="30"/>
                      </w:rPr>
                      <w:t>ISSN:</w:t>
                    </w:r>
                    <w:r>
                      <w:rPr>
                        <w:b/>
                        <w:color w:val="365F91"/>
                        <w:spacing w:val="-3"/>
                        <w:sz w:val="30"/>
                      </w:rPr>
                      <w:t xml:space="preserve"> </w:t>
                    </w:r>
                    <w:r>
                      <w:rPr>
                        <w:b/>
                        <w:color w:val="365F91"/>
                        <w:sz w:val="30"/>
                      </w:rPr>
                      <w:t>2250-</w:t>
                    </w:r>
                    <w:r>
                      <w:rPr>
                        <w:b/>
                        <w:color w:val="365F91"/>
                        <w:spacing w:val="-4"/>
                        <w:sz w:val="30"/>
                      </w:rPr>
                      <w:t>3552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80DFF"/>
    <w:multiLevelType w:val="hybridMultilevel"/>
    <w:tmpl w:val="65FE1EC6"/>
    <w:lvl w:ilvl="0" w:tplc="05DAEDF4">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6D445E14">
      <w:numFmt w:val="bullet"/>
      <w:lvlText w:val="•"/>
      <w:lvlJc w:val="left"/>
      <w:pPr>
        <w:ind w:left="2016" w:hanging="360"/>
      </w:pPr>
      <w:rPr>
        <w:rFonts w:hint="default"/>
        <w:lang w:val="en-US" w:eastAsia="en-US" w:bidi="ar-SA"/>
      </w:rPr>
    </w:lvl>
    <w:lvl w:ilvl="2" w:tplc="BF40A5C0">
      <w:numFmt w:val="bullet"/>
      <w:lvlText w:val="•"/>
      <w:lvlJc w:val="left"/>
      <w:pPr>
        <w:ind w:left="2952" w:hanging="360"/>
      </w:pPr>
      <w:rPr>
        <w:rFonts w:hint="default"/>
        <w:lang w:val="en-US" w:eastAsia="en-US" w:bidi="ar-SA"/>
      </w:rPr>
    </w:lvl>
    <w:lvl w:ilvl="3" w:tplc="5FACCC2A">
      <w:numFmt w:val="bullet"/>
      <w:lvlText w:val="•"/>
      <w:lvlJc w:val="left"/>
      <w:pPr>
        <w:ind w:left="3888" w:hanging="360"/>
      </w:pPr>
      <w:rPr>
        <w:rFonts w:hint="default"/>
        <w:lang w:val="en-US" w:eastAsia="en-US" w:bidi="ar-SA"/>
      </w:rPr>
    </w:lvl>
    <w:lvl w:ilvl="4" w:tplc="EED2B054">
      <w:numFmt w:val="bullet"/>
      <w:lvlText w:val="•"/>
      <w:lvlJc w:val="left"/>
      <w:pPr>
        <w:ind w:left="4824" w:hanging="360"/>
      </w:pPr>
      <w:rPr>
        <w:rFonts w:hint="default"/>
        <w:lang w:val="en-US" w:eastAsia="en-US" w:bidi="ar-SA"/>
      </w:rPr>
    </w:lvl>
    <w:lvl w:ilvl="5" w:tplc="27006FD2">
      <w:numFmt w:val="bullet"/>
      <w:lvlText w:val="•"/>
      <w:lvlJc w:val="left"/>
      <w:pPr>
        <w:ind w:left="5760" w:hanging="360"/>
      </w:pPr>
      <w:rPr>
        <w:rFonts w:hint="default"/>
        <w:lang w:val="en-US" w:eastAsia="en-US" w:bidi="ar-SA"/>
      </w:rPr>
    </w:lvl>
    <w:lvl w:ilvl="6" w:tplc="46B4BC70">
      <w:numFmt w:val="bullet"/>
      <w:lvlText w:val="•"/>
      <w:lvlJc w:val="left"/>
      <w:pPr>
        <w:ind w:left="6696" w:hanging="360"/>
      </w:pPr>
      <w:rPr>
        <w:rFonts w:hint="default"/>
        <w:lang w:val="en-US" w:eastAsia="en-US" w:bidi="ar-SA"/>
      </w:rPr>
    </w:lvl>
    <w:lvl w:ilvl="7" w:tplc="A1F485AE">
      <w:numFmt w:val="bullet"/>
      <w:lvlText w:val="•"/>
      <w:lvlJc w:val="left"/>
      <w:pPr>
        <w:ind w:left="7632" w:hanging="360"/>
      </w:pPr>
      <w:rPr>
        <w:rFonts w:hint="default"/>
        <w:lang w:val="en-US" w:eastAsia="en-US" w:bidi="ar-SA"/>
      </w:rPr>
    </w:lvl>
    <w:lvl w:ilvl="8" w:tplc="F6584BA0">
      <w:numFmt w:val="bullet"/>
      <w:lvlText w:val="•"/>
      <w:lvlJc w:val="left"/>
      <w:pPr>
        <w:ind w:left="8568" w:hanging="360"/>
      </w:pPr>
      <w:rPr>
        <w:rFonts w:hint="default"/>
        <w:lang w:val="en-US" w:eastAsia="en-US" w:bidi="ar-SA"/>
      </w:rPr>
    </w:lvl>
  </w:abstractNum>
  <w:abstractNum w:abstractNumId="1" w15:restartNumberingAfterBreak="0">
    <w:nsid w:val="615E228A"/>
    <w:multiLevelType w:val="multilevel"/>
    <w:tmpl w:val="EDBCC6DC"/>
    <w:lvl w:ilvl="0">
      <w:start w:val="1"/>
      <w:numFmt w:val="decimal"/>
      <w:lvlText w:val="%1."/>
      <w:lvlJc w:val="left"/>
      <w:pPr>
        <w:ind w:left="60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72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250" w:hanging="360"/>
      </w:pPr>
      <w:rPr>
        <w:rFonts w:hint="default"/>
        <w:lang w:val="en-US" w:eastAsia="en-US" w:bidi="ar-SA"/>
      </w:rPr>
    </w:lvl>
    <w:lvl w:ilvl="4">
      <w:numFmt w:val="bullet"/>
      <w:lvlText w:val="•"/>
      <w:lvlJc w:val="left"/>
      <w:pPr>
        <w:ind w:left="3420" w:hanging="360"/>
      </w:pPr>
      <w:rPr>
        <w:rFonts w:hint="default"/>
        <w:lang w:val="en-US" w:eastAsia="en-US" w:bidi="ar-SA"/>
      </w:rPr>
    </w:lvl>
    <w:lvl w:ilvl="5">
      <w:numFmt w:val="bullet"/>
      <w:lvlText w:val="•"/>
      <w:lvlJc w:val="left"/>
      <w:pPr>
        <w:ind w:left="4590" w:hanging="360"/>
      </w:pPr>
      <w:rPr>
        <w:rFonts w:hint="default"/>
        <w:lang w:val="en-US" w:eastAsia="en-US" w:bidi="ar-SA"/>
      </w:rPr>
    </w:lvl>
    <w:lvl w:ilvl="6">
      <w:numFmt w:val="bullet"/>
      <w:lvlText w:val="•"/>
      <w:lvlJc w:val="left"/>
      <w:pPr>
        <w:ind w:left="5760" w:hanging="360"/>
      </w:pPr>
      <w:rPr>
        <w:rFonts w:hint="default"/>
        <w:lang w:val="en-US" w:eastAsia="en-US" w:bidi="ar-SA"/>
      </w:rPr>
    </w:lvl>
    <w:lvl w:ilvl="7">
      <w:numFmt w:val="bullet"/>
      <w:lvlText w:val="•"/>
      <w:lvlJc w:val="left"/>
      <w:pPr>
        <w:ind w:left="6930" w:hanging="360"/>
      </w:pPr>
      <w:rPr>
        <w:rFonts w:hint="default"/>
        <w:lang w:val="en-US" w:eastAsia="en-US" w:bidi="ar-SA"/>
      </w:rPr>
    </w:lvl>
    <w:lvl w:ilvl="8">
      <w:numFmt w:val="bullet"/>
      <w:lvlText w:val="•"/>
      <w:lvlJc w:val="left"/>
      <w:pPr>
        <w:ind w:left="8100"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632C8"/>
    <w:rsid w:val="00CC1533"/>
    <w:rsid w:val="00D21170"/>
    <w:rsid w:val="00E632C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16A1"/>
  <w15:docId w15:val="{CAA33378-8085-4608-8EE6-02C537E8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20" w:hanging="36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right="716"/>
      <w:jc w:val="both"/>
    </w:pPr>
    <w:rPr>
      <w:sz w:val="24"/>
      <w:szCs w:val="24"/>
    </w:rPr>
  </w:style>
  <w:style w:type="paragraph" w:styleId="Title">
    <w:name w:val="Title"/>
    <w:basedOn w:val="Normal"/>
    <w:uiPriority w:val="10"/>
    <w:qFormat/>
    <w:pPr>
      <w:spacing w:before="20"/>
      <w:ind w:right="3"/>
      <w:jc w:val="center"/>
    </w:pPr>
    <w:rPr>
      <w:rFonts w:ascii="Cambria" w:eastAsia="Cambria" w:hAnsi="Cambria" w:cs="Cambria"/>
      <w:b/>
      <w:bCs/>
      <w:sz w:val="40"/>
      <w:szCs w:val="40"/>
    </w:rPr>
  </w:style>
  <w:style w:type="paragraph" w:styleId="ListParagraph">
    <w:name w:val="List Paragraph"/>
    <w:basedOn w:val="Normal"/>
    <w:uiPriority w:val="1"/>
    <w:qFormat/>
    <w:pPr>
      <w:ind w:left="1080" w:hanging="360"/>
      <w:jc w:val="both"/>
    </w:pPr>
  </w:style>
  <w:style w:type="paragraph" w:customStyle="1" w:styleId="TableParagraph">
    <w:name w:val="Table Paragraph"/>
    <w:basedOn w:val="Normal"/>
    <w:uiPriority w:val="1"/>
    <w:qFormat/>
    <w:pPr>
      <w:spacing w:line="275"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i.org/10.1080/0965254X.2016.1148771" TargetMode="External"/><Relationship Id="rId4" Type="http://schemas.openxmlformats.org/officeDocument/2006/relationships/webSettings" Target="webSettings.xml"/><Relationship Id="rId9" Type="http://schemas.openxmlformats.org/officeDocument/2006/relationships/hyperlink" Target="https://doi.org/10.1108/TQM-02-2020-0019"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ijesh.com/" TargetMode="External"/><Relationship Id="rId2" Type="http://schemas.openxmlformats.org/officeDocument/2006/relationships/hyperlink" Target="http://www.ijesh.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5689</Words>
  <Characters>32429</Characters>
  <Application>Microsoft Office Word</Application>
  <DocSecurity>0</DocSecurity>
  <Lines>270</Lines>
  <Paragraphs>76</Paragraphs>
  <ScaleCrop>false</ScaleCrop>
  <Company/>
  <LinksUpToDate>false</LinksUpToDate>
  <CharactersWithSpaces>38042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3</cp:revision>
  <dcterms:created xsi:type="dcterms:W3CDTF">2026-07-26T08:10:00Z</dcterms:created>
  <dcterms:modified xsi:type="dcterms:W3CDTF">2026-07-26T08:14:00Z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2026-07-15T00:00:00Z</vt:filetime>
  </property>
  <property fmtid="{D5CDD505-2E9C-101B-9397-08002B2CF9AE}" pid="4" name="Creator">
    <vt:lpwstr>Microsoft® Word 2016</vt:lpwstr>
  </property>
  <property fmtid="{D5CDD505-2E9C-101B-9397-08002B2CF9AE}" pid="5" name="LastSaved">
    <vt:filetime>2026-07-26T00:00:00Z</vt:filetime>
  </property>
  <property fmtid="{D5CDD505-2E9C-101B-9397-08002B2CF9AE}" pid="6" name="Producer">
    <vt:lpwstr>Microsoft® Word 2016</vt:lpwstr>
  </property>
</Properties>
</file>